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GWB — Zulässiger Zeitraum für Ausschlüsse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ein Unternehmen, bei dem ein Ausschlussgrund vorliegt, keine oder keine ausreichenden Selbstreinigungsmaßnahmen nach § 125 ergriffen hat, darf es</w:t>
      </w:r>
    </w:p>
    <w:p>
      <w:pPr>
        <w:ind w:left="420"/>
      </w:pPr>
      <w:r>
        <w:t xml:space="preserve">1. bei Vorliegen eines Ausschlussgrundes nach § 123 höchstens fünf Jahre ab dem Tag der rechtskräftigen Verurteilung von der Teilnahme an Vergabeverfahren ausgeschlossen werden,</w:t>
      </w:r>
    </w:p>
    <w:p>
      <w:pPr>
        <w:ind w:left="420"/>
      </w:pPr>
      <w:r>
        <w:t xml:space="preserve">2. bei Vorliegen eines Ausschlussgrundes nach § 124 höchstens drei Jahre ab dem betreffenden Ereignis von der Teilnahme an Vergabeverfahren ausgeschlossen werden.</w:t>
      </w:r>
    </w:p>
    <w:p>
      <w:r>
        <w:rPr>
          <w:color w:val="555555"/>
          <w:sz w:val="17"/>
        </w:rPr>
        <w:t xml:space="preserve">Zitiervorschlag: § 126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https://recht.nulegal.eu/gesetze/GWB/126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