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GWB — Verordnungsermächtigung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Bundesregierung wird ermächtigt, durch Rechtsverordnungen mit Zustimmung des Bundesrates die Einzelheiten zur Vergabe von öffentlichen Aufträgen und Konzessionen sowie zur Ausrichtung von Wettbewerben zu regeln. Diese Ermächtigung umfasst die Befugnis zur Regelung von Anforderungen an den Auftragsgegenstand und an das Vergabeverfahren, insbesondere zur Regelung</w:t>
      </w:r>
    </w:p>
    <w:p>
      <w:pPr>
        <w:ind w:left="420"/>
      </w:pPr>
      <w:r>
        <w:t xml:space="preserve">1. der Schätzung des Auftrags- oder Vertragswertes,</w:t>
      </w:r>
    </w:p>
    <w:p>
      <w:pPr>
        <w:ind w:left="420"/>
      </w:pPr>
      <w:r>
        <w:t xml:space="preserve">2. der Leistungsbeschreibung, der Bekanntmachung, der Verfahrensarten und des Ablaufs des Vergabeverfahrens, der Nebenangebote, der Vergabe von Unteraufträgen sowie der Vergabe öffentlicher Aufträge und Konzessionen, die soziale und andere besondere Dienstleistungen betreffen,</w:t>
      </w:r>
    </w:p>
    <w:p>
      <w:pPr>
        <w:ind w:left="420"/>
      </w:pPr>
      <w:r>
        <w:t xml:space="preserve">3. der besonderen Methoden und Instrumente in Vergabeverfahren und für Sammelbeschaffungen einschließlich der zentralen Beschaffung,</w:t>
      </w:r>
    </w:p>
    <w:p>
      <w:pPr>
        <w:ind w:left="420"/>
      </w:pPr>
      <w:r>
        <w:t xml:space="preserve">4. des Sendens, Empfangens, Weiterleitens und Speicherns von Daten einschließlich der Regelungen zum Inkrafttreten der entsprechenden Verpflichtungen,</w:t>
      </w:r>
    </w:p>
    <w:p>
      <w:pPr>
        <w:ind w:left="420"/>
      </w:pPr>
      <w:r>
        <w:t xml:space="preserve">5. der Auswahl und Prüfung der Unternehmen und Angebote sowie des Abschlusses des Vertrags,</w:t>
      </w:r>
    </w:p>
    <w:p>
      <w:pPr>
        <w:ind w:left="420"/>
      </w:pPr>
      <w:r>
        <w:t xml:space="preserve">6. der Aufhebung des Vergabeverfahrens,</w:t>
      </w:r>
    </w:p>
    <w:p>
      <w:pPr>
        <w:ind w:left="420"/>
      </w:pPr>
      <w:r>
        <w:t xml:space="preserve">7. der verteidigungs- oder sicherheitsspezifischen Anforderungen im Hinblick auf den Geheimschutz, auf die allgemeinen Regelungen zur Wahrung der Vertraulichkeit, auf die Versorgungssicherheit sowie auf die besonderen Regelungen für die Vergabe von Unteraufträgen,</w:t>
      </w:r>
    </w:p>
    <w:p>
      <w:pPr>
        <w:ind w:left="420"/>
      </w:pPr>
      <w:r>
        <w:t xml:space="preserve">8. der Voraussetzungen, nach denen Sektorenauftraggeber, Konzessionsgeber oder Auftraggeber nach dem Bundesberggesetz von der Verpflichtung zur Anwendung dieses Teils befreit werden können, sowie des dabei anzuwendenden Verfahrens einschließlich der erforderlichen Ermittlungsbefugnisse des Bundeskartellamtes und der Einzelheiten der Kostenerhebung; Vollstreckungserleichterungen dürfen vorgesehen werden,</w:t>
      </w:r>
    </w:p>
    <w:p>
      <w:pPr>
        <w:ind w:left="420"/>
      </w:pPr>
      <w:r>
        <w:t xml:space="preserve">9. verpflichtender Anforderungen an die Klimafreundlichkeit bei der Beschaffung von Leistungen, insbesondere hinsichtlich der Verwendung von emissionsarmen Grundstoffen wie Stahl und Zement.</w:t>
      </w:r>
    </w:p>
    <w:p>
      <w:r>
        <w:t xml:space="preserve">Die Rechtsverordnungen sind dem Bundestag zuzuleiten. Die Zuleitung erfolgt vor der Zuleitung an den Bundesrat. Die Rechtsverordnungen können durch Beschluss des Bundestages geändert oder abgelehnt werden. Der Beschluss des Bundestages wird der Bundesregierung zugeleitet. Hat sich der Bundestag nach Ablauf von drei Sitzungswochen seit Eingang der Rechtsverordnungen nicht mit ihnen befasst, so werden die unveränderten Rechtsverordnungen dem Bundesrat zugeleitet.</w:t>
      </w:r>
    </w:p>
    <w:p>
      <w:r>
        <w:t xml:space="preserve">(2) Die Bundesregierung wird ermächtigt, durch Rechtsverordnung ohne Zustimmung des Bundesrates die in Vorschriften dieses Gesetzes oder in einer aufgrund dieses Gesetzes erlassenen Rechtsverordnung enthaltenen Verweise auf die Vergabe- und Vertragsordnung für Bauleistungen zu ändern, soweit dies zur Anpassung an eine Änderung der Vergabe- und Vertragsordnung für Bauleistungen erforderlich ist.</w:t>
      </w:r>
    </w:p>
    <w:p>
      <w:r>
        <w:t xml:space="preserve">(3) Die Bundesregierung wird ermächtigt, durch Rechtsverordnung ohne Zustimmung des Bundesrates die in diesem Gesetz oder in anderen Rechtsvorschriften des Bundes enthaltenen Verweise auf die nach dieser Vorschrift erlassenen Rechtsverordnungen abzuändern, soweit dies zur Anpassung an eine Änderung dieser Rechtsverordnungen erforderlich ist.</w:t>
      </w:r>
    </w:p>
    <w:p>
      <w:r>
        <w:rPr>
          <w:color w:val="555555"/>
          <w:sz w:val="17"/>
        </w:rPr>
        <w:t xml:space="preserve">Zitiervorschlag: § 113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