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GVVergVO (Nordrhein-Westfalen) — Besondere Vergütung</w:t>
      </w:r>
    </w:p>
    <w:p>
      <w:r>
        <w:rPr>
          <w:color w:val="555555"/>
          <w:sz w:val="18"/>
        </w:rPr>
        <w:t xml:space="preserve">Gerichtsvollziehervergütungsverordnung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den §§ 1 und 2 kann auf Antrag eine besondere Vergütung festgesetzt werden, wenn die nach den §§ 1 und 2 zustehenden Vergütungsbeträge aus Gründen, die die Gerichtsvollzieherin oder der Gerichtsvollzieher nicht zu vertreten hat, nicht ausreichen, um die besonderen, für die Gerichtsvollziehertätigkeit typischen Aufwendungen, insbesondere für die Einrichtung und den Betrieb des Büros, zu bestreiten.</w:t>
      </w:r>
    </w:p>
    <w:p>
      <w:r>
        <w:t xml:space="preserve">(2) Die Gerichtsvollzieherin oder der Gerichtsvollzieher hat den Anfall der entstandenen höheren typischen Aufwendungen nachzuweisen und die Gründe für die Notwendigkeit der Mehrkosten schlüssig darzulegen.</w:t>
      </w:r>
    </w:p>
    <w:p>
      <w:r>
        <w:rPr>
          <w:color w:val="555555"/>
          <w:sz w:val="17"/>
        </w:rPr>
        <w:t xml:space="preserve">Zitiervorschlag: § 5 GVVergVO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https://recht.nulegal.eu/gesetze/GVVergVO/5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