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GVVergVO (Nordrhein-Westfalen) — Vergütung bei Versetzung oder Teilzeitbeschäftigung</w:t>
      </w:r>
    </w:p>
    <w:p>
      <w:r>
        <w:rPr>
          <w:color w:val="555555"/>
          <w:sz w:val="18"/>
        </w:rPr>
        <w:t xml:space="preserve">Gerichtsvollziehervergütungsverordnung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Versetzung während des Kalenderjahres oder bei der Erteilung mehrerer Beschäftigungsaufträge innerhalb eines Kalenderjahres werden die Einnahmen an Gebühren und Dokumentenpauschalen für die einzelnen Beschäftigungszeiträume zu einer einheitlichen Bemessungsgrenze zusammengerechnet.</w:t>
      </w:r>
    </w:p>
    <w:p>
      <w:r>
        <w:t xml:space="preserve">(2) Die für den Prozentsatz des Gebührenanteils nach § 1 Absatz 2 maßgebenden Bemessungsgrenzen vermindern sich bei Teilzeitbeschäftigung oder bei ermäßigter Arbeitszeit entsprechend dem Beschäftigungsumfang; bis einschließlich der zweiten Bemessungsgrenze erfolgt eine weitere Verminderung um 20 Prozent.</w:t>
      </w:r>
    </w:p>
    <w:p>
      <w:r>
        <w:rPr>
          <w:color w:val="555555"/>
          <w:sz w:val="17"/>
        </w:rPr>
        <w:t xml:space="preserve">Zitiervorschlag: § 2 GVVergVO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https://recht.nulegal.eu/gesetze/GVVergVO/2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