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GVVG (Bayern) — Gesundheitsförderung und Prävention</w:t>
      </w:r>
    </w:p>
    <w:p>
      <w:r>
        <w:rPr>
          <w:color w:val="555555"/>
          <w:sz w:val="18"/>
        </w:rPr>
        <w:t xml:space="preserve">Gesetz über den gesundheitlichen Verbraucherschutz und das Veterinärwesen BayRS 2120-1-U/G</w:t>
      </w:r>
    </w:p>
    <w:p>
      <w:r>
        <w:rPr>
          <w:color w:val="555555"/>
          <w:sz w:val="18"/>
        </w:rPr>
        <w:t xml:space="preserve">Landesrecht Bayern</w:t>
      </w:r>
    </w:p>
    <w:p>
      <w:r>
        <w:rPr>
          <w:color w:val="555555"/>
          <w:sz w:val="18"/>
        </w:rPr>
        <w:t xml:space="preserve">Stand: 25.08.2026 (konsolidierte Textfassung, kein amtliches Inkrafttretensdatum)</w:t>
      </w:r>
    </w:p>
    <w:p>
      <w:r>
        <w:t xml:space="preserve">Sämtliche Behörden für gesundheitlichen Verbraucherschutz und Veterinärwesen sowie das Landesamt unterstützen zusammen mit anderen auf demselben Gebiet tätigen öffentlichen und privaten Stellen die Bevölkerung bei der Erhaltung und Förderung der Gesundheit sowie die Schaffung und Erhaltung gesunder Lebensbedingungen.</w:t>
      </w:r>
    </w:p>
    <w:p>
      <w:r>
        <w:rPr>
          <w:color w:val="555555"/>
          <w:sz w:val="17"/>
        </w:rPr>
        <w:t xml:space="preserve">Zitiervorschlag: Art 9 GVVG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https://recht.nulegal.eu/gesetze/GVVG/9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