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GVVG (Bayern) — Verordnungsermächtigungen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für Umwelt und Verbraucherschutz und das Staatsministerium für Gesundheit, Pflege und Prävention werden jeweils ermächtigt, für ihren Geschäftsbereich durch Rechtsverordnung im Einvernehmen mit dem jeweils anderen Staatsministerium</w:t>
      </w:r>
    </w:p>
    <w:p>
      <w:r>
        <w:t xml:space="preserve">1. Regelungen zur gemeinsamen Wahrnehmung von Aufgaben der Gesundheitsbehörden und der Behörden für gesundheitlichen Verbraucherschutz und Veterinärwesen zu erlassen,</w:t>
      </w:r>
    </w:p>
    <w:p>
      <w:r>
        <w:t xml:space="preserve">2. Aufbau und Aufgaben des Landesamts zu regeln.</w:t>
      </w:r>
    </w:p>
    <w:p>
      <w:r>
        <w:t xml:space="preserve">(2) Das Staatsministerium für Umwelt und Verbraucherschutz wird ermächtigt, durch Rechtsverordnung</w:t>
      </w:r>
    </w:p>
    <w:p>
      <w:r>
        <w:t xml:space="preserve">1. eine Ausbildungs- und Prüfungsordnung für den Beruf des staatlich geprüften Lebensmittelchemikers zu erlassen und das Nähere zum Auswahlverfahren nach Art. 22 Abs. 2 Satz 2, insbesondere zum Bewerbungsverfahren, zu Ausschlussfristen, zur Auswahl unter gleichrangigen Bewerbern und zum Nachrückverfahren, zu regeln,</w:t>
      </w:r>
    </w:p>
    <w:p>
      <w:r>
        <w:t xml:space="preserve">2. nähere Regelungen zur Umsetzung der Richtlinie 2005/36/EG nach Art. 21 Abs. 2 Satz 2 zu erlassen,</w:t>
      </w:r>
    </w:p>
    <w:p>
      <w:r>
        <w:t xml:space="preserve">3. im Einvernehmen mit dem Staatsministerium des Innern, für Sport und Integration der Kontrollbehörde auch abweichend von landesrechtlich normierten Zuständigkeiten einzelne spezialisierte Zuständigkeiten der Veterinär-, Futter- und Lebensmittelüberwachung sachlich und örtlich zuzuweisen, insbesondere soweit zu erwarten steht, dass die Kontrollbehörde sie auf Grund ihrer Ausstattung oder speziellen personellen Qualifikationen besonders sachkundig erfüllen kann,</w:t>
      </w:r>
    </w:p>
    <w:p>
      <w:r>
        <w:t xml:space="preserve">4. Grenzkontrollstellen im Sinn von § 5 Abs. 3 der Lebensmitteleinfuhr-Verordnung zu bestimmen,</w:t>
      </w:r>
    </w:p>
    <w:p>
      <w:r>
        <w:t xml:space="preserve">5. Regelungen zur Zuständigkeit und Durchführung von Laboruntersuchungen im Rahmen des Vollzugs lebensmittelrechtlicher Vorschriften zu erlassen,</w:t>
      </w:r>
    </w:p>
    <w:p>
      <w:r>
        <w:t xml:space="preserve">6. die zuständigen Behörden abweichend von Art. 15 Abs. 2 zu bestimmen,</w:t>
      </w:r>
    </w:p>
    <w:p>
      <w:r>
        <w:t xml:space="preserve">7. besondere Regelungen zur Aufsicht über die Erledigung von Fach- und Vollzugsaufgaben im Bereich der Veterinär-, Futtermittel- und Lebensmittelüberwachung festzulegen,</w:t>
      </w:r>
    </w:p>
    <w:p>
      <w:r>
        <w:t xml:space="preserve">8. den Behörden für gesundheitlichen Verbraucherschutz und Veterinärwesen im Rahmen der Ziele und Aufgaben nach diesem Gesetz besondere Aufgaben zuzuweisen,</w:t>
      </w:r>
    </w:p>
    <w:p>
      <w:r>
        <w:t xml:space="preserve">9. im Falle des Art. 3 Abs. 1 Satz 3 im Einvernehmen mit dem Staatsministerium des Innern, für Sport und Integration die für das Gebiet einer kreisfreien Gemeinde zuständige Behörde zu bestimmen,</w:t>
      </w:r>
    </w:p>
    <w:p>
      <w:r>
        <w:t xml:space="preserve">10. die zuständigen Behörden für gesundheitlichen Verbraucherschutz und Veterinärwesen abweichend von Art. 2 Abs. 2 zu bestimmen und in diesem Zusammenhang im Einvernehmen mit dem Staatsministerium des Innern, für Sport und Integration vom Bayerischen Verwaltungszustellungs- und Vollstreckungsgesetz abweichende Regelungen über die Zuständigkeiten in der Vollstreckung zu treffen,</w:t>
      </w:r>
    </w:p>
    <w:p>
      <w:r>
        <w:t xml:space="preserve">11. Personen des Privatrechts nach Art. 7 Abs. 1 zu beleihen und die Zuständigkeiten nach Art. 7 Abs. 2 Satz 2 zu bestimmen,</w:t>
      </w:r>
    </w:p>
    <w:p>
      <w:r>
        <w:t xml:space="preserve">12. im Einvernehmen mit dem Staatsministerium des Innern, für Sport und Integration Aufgaben kommunaler Behörden für gesundheitlichen Verbraucherschutz und Veterinärwesen auf staatliche Behörden zu übertragen.</w:t>
      </w:r>
    </w:p>
    <w:p>
      <w:r>
        <w:rPr>
          <w:color w:val="555555"/>
          <w:sz w:val="17"/>
        </w:rPr>
        <w:t xml:space="preserve">Zitiervorschlag: Art 32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