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GVVG (Bayern) — Bedarfsgebiete</w:t>
      </w:r>
    </w:p>
    <w:p>
      <w:r>
        <w:rPr>
          <w:color w:val="555555"/>
          <w:sz w:val="18"/>
        </w:rPr>
        <w:t xml:space="preserve">Gesetz über den gesundheitlichen Verbraucherschutz und das Veterinärwesen BayRS 2120-1-U/G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Bedarfsgebiete sind Landkreise, in denen das vorhandene Angebot tierärztlicher Leistungen zur Sicherstellung der tierärztlichen Versorgung der vorhandenen Nutztierbestände an Rindern oder Schweinen nicht ausreichend ist.</w:t>
      </w:r>
    </w:p>
    <w:p>
      <w:r>
        <w:t xml:space="preserve">(2) Bedarfsgebiete werden jährlich, jeweils zu Beginn eines Kalenderjahres und erstmalig für das Kalenderjahr 2030, vom Landesamt ermittelt und im Bayerischen Ministerialblatt veröffentlicht.</w:t>
      </w:r>
    </w:p>
    <w:p>
      <w:r>
        <w:rPr>
          <w:color w:val="555555"/>
          <w:sz w:val="17"/>
        </w:rPr>
        <w:t xml:space="preserve">Zitiervorschlag: Art 30 GVVG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