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GVVG (Bayern) — Kommunale Behörden für gesundheitlichen Verbraucherschutz und Veterinärwesen</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Gemeinden sind die Aufgaben der Behörden für gesundheitlichen Verbraucherschutz und Veterinärwesen Aufgaben im übertragenen Wirkungskreis. Art. 83 der Verfassung, Art. 57 der Gemeindeordnung (GO) und Art. 51 der Landkreisordnung bleiben unberührt. Auf Aufgaben nach Art. 1 Abs. 2 Nr. 5 ist Art. 9 Abs. 1 Satz 1 GO nicht anwendbar.</w:t>
      </w:r>
    </w:p>
    <w:p>
      <w:r>
        <w:t xml:space="preserve">(2) Soweit eine kreisfreie Gemeinde Aufgaben nach Art. 1 Abs. 2 wahrnimmt, findet Art. 2 Abs. 4 entsprechende Anwendung.</w:t>
      </w:r>
    </w:p>
    <w:p>
      <w:r>
        <w:rPr>
          <w:color w:val="555555"/>
          <w:sz w:val="17"/>
        </w:rPr>
        <w:t xml:space="preserve">Zitiervorschlag: Art 3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