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GVVG (Bayern) — Zulassung zur berufspraktischen Ausbildung</w:t>
      </w:r>
    </w:p>
    <w:p>
      <w:r>
        <w:rPr>
          <w:color w:val="555555"/>
          <w:sz w:val="18"/>
        </w:rPr>
        <w:t xml:space="preserve">Gesetz über den gesundheitlichen Verbraucherschutz und das Veterinärwesen BayRS 2120-1-U/G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Zahl der Plätze für den berufspraktischen Teil der Ausbildung zum staatlich geprüften Lebensmittelchemiker kann nach Maßgabe des Staatshaushalts festgelegt werden (Ausbildungshöchstzahl).</w:t>
      </w:r>
    </w:p>
    <w:p>
      <w:r>
        <w:t xml:space="preserve">(2) Übersteigt bei einem Zulassungstermin die Zahl der Bewerber die festgesetzte Ausbildungshöchstzahl, ist ein Auswahlverfahren nach Satz 2 durchzuführen. Die Vergabe der Plätze erfolgt anhand der Durchschnittsnote des Zweiten Prüfungsabschnitts der Staatsprüfung zum staatlich geprüften Lebensmittelchemiker.</w:t>
      </w:r>
    </w:p>
    <w:p>
      <w:r>
        <w:rPr>
          <w:color w:val="555555"/>
          <w:sz w:val="17"/>
        </w:rPr>
        <w:t xml:space="preserve">Zitiervorschlag: Art 22 GVVG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https://recht.nulegal.eu/gesetze/GVVG/22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