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GVVG (Bayern) — Gegenprobensachverständige</w:t>
      </w:r>
    </w:p>
    <w:p>
      <w:r>
        <w:rPr>
          <w:color w:val="555555"/>
          <w:sz w:val="18"/>
        </w:rPr>
        <w:t xml:space="preserve">Gesetz über den gesundheitlichen Verbraucherschutz und das Veterinärwesen BayRS 2120-1-U/G</w:t>
      </w:r>
    </w:p>
    <w:p>
      <w:r>
        <w:rPr>
          <w:color w:val="555555"/>
          <w:sz w:val="18"/>
        </w:rPr>
        <w:t xml:space="preserve">Landesrecht Bayern</w:t>
      </w:r>
    </w:p>
    <w:p>
      <w:r>
        <w:rPr>
          <w:color w:val="555555"/>
          <w:sz w:val="18"/>
        </w:rPr>
        <w:t xml:space="preserve">Stand: 25.08.2026 (konsolidierte Textfassung, kein amtliches Inkrafttretensdatum)</w:t>
      </w:r>
    </w:p>
    <w:p>
      <w:r>
        <w:t xml:space="preserve">(1) Zuständig für die Zulassung von Gegenprobensachverständigen gemäß der Gegenproben-Verordnung (GPV) ist die Regierung von Oberfranken. Zulassungen anderer Länder gelten auch im Freistaat Bayern.</w:t>
      </w:r>
    </w:p>
    <w:p>
      <w:r>
        <w:t xml:space="preserve">(2) Hat die Behörde nicht innerhalb der nach Art. 42a des Bayerischen Verwaltungsverfahrensgesetzes festgelegten Frist entschieden, gilt die Zulassung als erteilt. Das Verfahren kann über eine einheitliche Stelle nach den Vorschriften des Bayerischen Verwaltungsverfahrensgesetzes abgewickelt werden.</w:t>
      </w:r>
    </w:p>
    <w:p>
      <w:r>
        <w:rPr>
          <w:color w:val="555555"/>
          <w:sz w:val="17"/>
        </w:rPr>
        <w:t xml:space="preserve">Zitiervorschlag: Art 19 GVVG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