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GVVG (Bayern) — Wechsel des Kontrollgebiets</w:t>
      </w:r>
    </w:p>
    <w:p>
      <w:r>
        <w:rPr>
          <w:color w:val="555555"/>
          <w:sz w:val="18"/>
        </w:rPr>
        <w:t xml:space="preserve">Gesetz über den gesundheitlichen Verbraucherschutz und das Veterinärwesen BayRS 2120-1-U/G</w:t>
      </w:r>
    </w:p>
    <w:p>
      <w:r>
        <w:rPr>
          <w:color w:val="555555"/>
          <w:sz w:val="18"/>
        </w:rPr>
        <w:t xml:space="preserve">Landesrecht Bayern</w:t>
      </w:r>
    </w:p>
    <w:p>
      <w:r>
        <w:rPr>
          <w:color w:val="555555"/>
          <w:sz w:val="18"/>
        </w:rPr>
        <w:t xml:space="preserve">Stand: 25.08.2026 (konsolidierte Textfassung, kein amtliches Inkrafttretensdatum)</w:t>
      </w:r>
    </w:p>
    <w:p>
      <w:r>
        <w:t xml:space="preserve">Die für die Wahrnehmung der Aufgaben nach Art. 12 bis 14 zuständigen Behörden haben dafür Sorge zu tragen, dass die mit der Erfüllung von Kontrollaufgaben nach den Art. 12 bis 14 beauftragten Fachkräfte im Rahmen der personellen und organisatorischen Möglichkeiten regelmäßig ihr Kontrollgebiet wechseln oder sonstige ausgleichende Maßnahmen getroffen werden.</w:t>
      </w:r>
    </w:p>
    <w:p>
      <w:r>
        <w:rPr>
          <w:color w:val="555555"/>
          <w:sz w:val="17"/>
        </w:rPr>
        <w:t xml:space="preserve">Zitiervorschlag: Art 17 GVVG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https://recht.nulegal.eu/gesetze/GVVG/17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