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GVVG (Bayern) — Aufgaben und Zuständigkeiten nach dem Verbraucherinformationsgesetz</w:t>
      </w:r>
    </w:p>
    <w:p>
      <w:r>
        <w:rPr>
          <w:color w:val="555555"/>
          <w:sz w:val="18"/>
        </w:rPr>
        <w:t xml:space="preserve">Gesetz über den gesundheitlichen Verbraucherschutz und das Veterinärwesen BayRS 2120-1-U/G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Den nach diesem Gesetz zuständigen kreisfreien Gemeinden werden die Aufgaben nach dem Verbraucherinformationsgesetz (VIG) übertragen.</w:t>
      </w:r>
    </w:p>
    <w:p>
      <w:r>
        <w:t xml:space="preserve">(2) Zuständig für den Vollzug des Verbraucherinformationsgesetzes ist jede Stelle im Sinn des § 2 Abs. 2 Satz 1 VIG. Handelt es sich bei der Stelle um eine natürliche oder juristische Person des Privatrechts, so ist abweichend von Satz 1 die Aufsicht führende Behörde zuständig.</w:t>
      </w:r>
    </w:p>
    <w:p>
      <w:r>
        <w:rPr>
          <w:color w:val="555555"/>
          <w:sz w:val="17"/>
        </w:rPr>
        <w:t xml:space="preserve">Zitiervorschlag: Art 15 GVVG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https://recht.nulegal.eu/gesetze/GVVG/15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