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GVVG (Bayern) — Lebensmittelüberwachung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der Lebensmittelüberwachung ist die Ausführung und Überwachung lebensmittelrechtlicher Vorschriften im Sinn des Art. 3 Nr. 1 der Verordnung (EG) Nr. 178/2002. Art. 13 bleibt unberührt.</w:t>
      </w:r>
    </w:p>
    <w:p>
      <w:r>
        <w:t xml:space="preserve">(2) Zu den Aufgaben der Lebensmittelüberwachung gehört auch die Ausführung und Überwachung</w:t>
      </w:r>
    </w:p>
    <w:p>
      <w:r>
        <w:t xml:space="preserve">1. der Vorschriften über Mittel zum Tätowieren, kosmetische Mittel, Bedarfsgegenstände und mit Lebensmitteln verwechselbare Produkte im Anwendungsbereich des Lebensmittel- und Futtermittelgesetzbuchs (LFGB),</w:t>
      </w:r>
    </w:p>
    <w:p>
      <w:r>
        <w:t xml:space="preserve">2. der Vorschriften des Tabakerzeugnisgesetzes (TabakerzG) im Hinblick auf die den Marktüberwachungsbehörden im Sinn von § 27 Abs. 1 Satz 1 TabakerzG zugewiesenen Aufgaben sowie der Vorschriften der Tabakerzeugnisverordnung,</w:t>
      </w:r>
    </w:p>
    <w:p>
      <w:r>
        <w:t xml:space="preserve">3. des § 4 Abs. 1, 2 und 4 des Lebensmittelspezialitätengesetzes (LSpG) in Verbindung mit Art. 24 Abs. 1 der Verordnung (EU) Nr. 1151/2012,</w:t>
      </w:r>
    </w:p>
    <w:p>
      <w:r>
        <w:t xml:space="preserve">4. des § 134 Abs. 1, 2 und 4 des Markengesetzes (MarkenG) in Verbindung mit Art. 13 Abs. 1 der Verordnung (EU) Nr. 1151/2012 und</w:t>
      </w:r>
    </w:p>
    <w:p>
      <w:r>
        <w:t xml:space="preserve">5. des § 4 Abs. 1 EGGenTDurchfG in Verbindung mit Art. 3, 4 Abs. 2, Art. 12 und 13 der Verordnung (EG) Nr. 1829/2003 und Art. 4 und 5 der Verordnung (EG) Nr. 1830/2003, soweit Lebensmittel betroffen sind.</w:t>
      </w:r>
    </w:p>
    <w:p>
      <w:r>
        <w:rPr>
          <w:color w:val="555555"/>
          <w:sz w:val="17"/>
        </w:rPr>
        <w:t xml:space="preserve">Zitiervorschlag: Art 14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