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GVVG (Bayern) — Futtermittelüberwachung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Aufgabe der Futtermittelüberwachung ist die Ausführung und Überwachung futtermittelrechtlicher Vorschriften. Hierzu zählen auch</w:t>
      </w:r>
    </w:p>
    <w:p>
      <w:r>
        <w:t xml:space="preserve">1. § 4 Abs. 1 des EG-Gentechnik-Durchführungsgesetzes (EGGenTDurchfG) in Verbindung mit den Art. 15, 16 Abs. 2, Art. 24 und 25 der Verordnung (EG) Nr. 1829/2003, soweit Futtermittel betroffen sind, und</w:t>
      </w:r>
    </w:p>
    <w:p>
      <w:r>
        <w:t xml:space="preserve">2. die Verfütterungsverbote nach Art. 7 der Verordnung (EG) Nr. 999/2001 und nach Art. 11 Abs. 1 der Verordnung (EG) Nr. 1069/2009.</w:t>
      </w:r>
    </w:p>
    <w:p>
      <w:r>
        <w:rPr>
          <w:color w:val="555555"/>
          <w:sz w:val="17"/>
        </w:rPr>
        <w:t xml:space="preserve">Zitiervorschlag: Art 13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