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12 GVVG (Bayern) — Veterinärüberwachung</w:t>
      </w:r>
    </w:p>
    <w:p>
      <w:r>
        <w:rPr>
          <w:color w:val="555555"/>
          <w:sz w:val="18"/>
        </w:rPr>
        <w:t xml:space="preserve">Gesetz über den gesundheitlichen Verbraucherschutz und das Veterinärwesen BayRS 2120-1-U/G</w:t>
      </w:r>
    </w:p>
    <w:p>
      <w:r>
        <w:rPr>
          <w:color w:val="555555"/>
          <w:sz w:val="18"/>
        </w:rPr>
        <w:t xml:space="preserve">Landesrecht Bayern</w:t>
      </w:r>
    </w:p>
    <w:p>
      <w:r>
        <w:rPr>
          <w:color w:val="555555"/>
          <w:sz w:val="18"/>
        </w:rPr>
        <w:t xml:space="preserve">Stand: 25.08.2026 (konsolidierte Textfassung, kein amtliches Inkrafttretensdatum)</w:t>
      </w:r>
    </w:p>
    <w:p>
      <w:r>
        <w:t xml:space="preserve">(1) Aufgabe der Veterinärüberwachung ist die Ausführung und Überwachung der Vorschriften auf dem Gebiet der tierischen Nebenprodukte, des Tierschutzes, der Tiergesundheit und des Arzneimittel- und des Betäubungsmittelrechts, soweit die Arzneimittel oder Betäubungsmittel zur Anwendung bei Tieren bestimmt sind und nicht die Überwachung des Großhandels, pharmazeutischer Unternehmen und öffentlicher Apotheken betroffen ist.</w:t>
      </w:r>
    </w:p>
    <w:p>
      <w:r>
        <w:t xml:space="preserve">(2) Die Kreisverwaltungsbehörden können im Einzelfall die Praxen von Tierärzten und Tierkliniken überwachen, wenn Anhaltspunkte dafür vorliegen, dass die Anforderungen einer guten veterinärrechtlichen Praxis, insbesondere der Hygiene, nicht eingehalten werden. Art. 14 Abs. 2 bis 4 des Gesundheitsdienstgesetzes gilt entsprechend.</w:t>
      </w:r>
    </w:p>
    <w:p>
      <w:r>
        <w:rPr>
          <w:color w:val="555555"/>
          <w:sz w:val="17"/>
        </w:rPr>
        <w:t xml:space="preserve">Zitiervorschlag: Art 12 GVVG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https://recht.nulegal.eu/gesetze/GVVG/12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