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GVVG (Bayern) — Ziele und Anwendungsbereich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hat das Ziel, die Tiergesundheit sowie den gesundheitsbezogenen Verbraucherschutz zu wahren und zu fördern.</w:t>
      </w:r>
    </w:p>
    <w:p>
      <w:r>
        <w:t xml:space="preserve">(2) Die Behörden für gesundheitlichen Verbraucherschutz und Veterinärwesen erfüllen die Aufgaben</w:t>
      </w:r>
    </w:p>
    <w:p>
      <w:r>
        <w:t xml:space="preserve">1. der Veterinärüberwachung,</w:t>
      </w:r>
    </w:p>
    <w:p>
      <w:r>
        <w:t xml:space="preserve">2. der Futtermittelüberwachung,</w:t>
      </w:r>
    </w:p>
    <w:p>
      <w:r>
        <w:t xml:space="preserve">3. der Lebensmittelüberwachung,</w:t>
      </w:r>
    </w:p>
    <w:p>
      <w:r>
        <w:t xml:space="preserve">4. im Rahmen der Information und Aufklärung in Fragen des gesundheitlichen Verbraucherschutzes im Sinn von Art. 8 und</w:t>
      </w:r>
    </w:p>
    <w:p>
      <w:r>
        <w:t xml:space="preserve">5. die ihnen durch sonstige Rechtsvorschriften zugewiesen werden.</w:t>
      </w:r>
    </w:p>
    <w:p>
      <w:r>
        <w:rPr>
          <w:color w:val="555555"/>
          <w:sz w:val="17"/>
        </w:rPr>
        <w:t xml:space="preserve">Zitiervorschlag: Art 1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