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GVV</w:t>
      </w:r>
    </w:p>
    <w:p>
      <w:r>
        <w:rPr>
          <w:color w:val="555555"/>
          <w:sz w:val="18"/>
        </w:rPr>
        <w:t xml:space="preserve">EEMD-Gebietsvorgabenverordnung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4i Satz 1 und 2 des Bundesfernstraßenmautgesetzes vom 12. Juli 2011 (BGBl. I S. 1378) in Verbindung mit § 9 Absatz 1, 3 und 4 des Mautsystem-gesetzes, die durch die Artikel 1 und 2 Nummer 3 des Gesetzes vom 5. Dezember 2014 (BGBl. I S. 1980) eingefügt worden sind, in Verbindung mit § 1 Nummer 1 der BAG-Übertragungsverordnung vom 14. Januar 2016 (BAnz AT 26.01.2016 V1), verordnet das Bundesamt für Güterverkehr:</w:t>
      </w:r>
    </w:p>
    <w:p>
      <w:r>
        <w:rPr>
          <w:color w:val="555555"/>
          <w:sz w:val="17"/>
        </w:rPr>
        <w:t xml:space="preserve">Zitiervorschlag: Eingangsformel 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