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GVV — Inkrafttreten</w:t>
      </w:r>
    </w:p>
    <w:p>
      <w:r>
        <w:rPr>
          <w:color w:val="555555"/>
          <w:sz w:val="18"/>
        </w:rPr>
        <w:t xml:space="preserve">EEMD-Gebietsvorgabenverordnung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