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GVV — Gebietsvorgaben</w:t>
      </w:r>
    </w:p>
    <w:p>
      <w:r>
        <w:rPr>
          <w:color w:val="555555"/>
          <w:sz w:val="18"/>
        </w:rPr>
        <w:t xml:space="preserve">EEMD-Gebietsvorgabenverordnung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Gebietsvorgaben im Sinne des § 9 Absatz 1, 3 und 4 des Mautsystemgesetzes für die nach § 1 des Bundesfernstraßenmautgesetzes mautpflichtigen Straßen ergeben sich aus den Anlagen zu dieser Verordnung.</w:t>
      </w:r>
    </w:p>
    <w:p>
      <w:r>
        <w:rPr>
          <w:color w:val="555555"/>
          <w:sz w:val="17"/>
        </w:rPr>
        <w:t xml:space="preserve">Zitiervorschlag: § 1 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