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GVOGebV (Brandenburg)</w:t>
      </w:r>
    </w:p>
    <w:p>
      <w:r>
        <w:rPr>
          <w:color w:val="555555"/>
          <w:sz w:val="18"/>
        </w:rPr>
        <w:t xml:space="preserve">Grundstücksverkehrs-Gebührenverordnung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Mindestgebühr für die Erteilung einer</w:t>
      </w:r>
    </w:p>
    <w:p>
      <w:r>
        <w:t xml:space="preserve">Genehmigung nach § 2 der Grundstücksverkehrsordnung beträgt 25 Euro. Die Höchstgebühr</w:t>
      </w:r>
    </w:p>
    <w:p>
      <w:r>
        <w:t xml:space="preserve">soll Eins vom Tausend des Verkaufspreises betragen, höchstens jedoch den in §</w:t>
      </w:r>
    </w:p>
    <w:p>
      <w:r>
        <w:t xml:space="preserve">9 Abs. 2 Satz 2 der Grundstücksverkehrsordnung genannten Betrag.</w:t>
      </w:r>
    </w:p>
    <w:p>
      <w:r>
        <w:t xml:space="preserve">(2) Ist ein Verkaufspreis nicht angegeben, ist für</w:t>
      </w:r>
    </w:p>
    <w:p>
      <w:r>
        <w:t xml:space="preserve">die Gebührenberechnung der festgestellte Wert zu Grunde zu legen. Ist ein</w:t>
      </w:r>
    </w:p>
    <w:p>
      <w:r>
        <w:t xml:space="preserve">festgestellter Wert nicht angegeben, ist von dem Gegenstandswert der notariellen</w:t>
      </w:r>
    </w:p>
    <w:p>
      <w:r>
        <w:t xml:space="preserve">Beurkundung auszugehen.</w:t>
      </w:r>
    </w:p>
    <w:p>
      <w:r>
        <w:rPr>
          <w:color w:val="555555"/>
          <w:sz w:val="17"/>
        </w:rPr>
        <w:t xml:space="preserve">Zitiervorschlag: § 1 GVOGebV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https://recht.nulegal.eu/gesetze/GVOGebV/1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