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GVIDVDV 2025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Auf Grund des § 26 Absatz 2 des Bundesbeamtengesetzes, der durch Artikel 1 Nummer 9 des Gesetzes vom 28. Juni 2021 (BGBl. I S. 2250) neu gefasst worden ist, in Verbindung mit § 10 Absatz 1 und 2, § 10a Absatz 8 sowie Anlage 2 Nummer 21 der Bundeslaufbahnverordnung, von denen § 10 Absatz 1 zuletzt durch Artikel 1 Nummer 2 der Verordnung vom 20. Februar 2013 (BGBl. I S. 316), § 10a Absatz 8 durch Artikel 1 Nummer 7 Buchstabe d der Verordnung vom 16. August 2021 (BGBl. I S. 3582) und Anlage 2 Nummer 21 durch Artikel 1 Nummer 2 Buchstabe e der Verordnung vom 27. Januar 2023 (BGBl. 2023 I Nr. 30) geändert worden sind, verordnet das Bundesministerium der Finanzen:</w:t>
      </w:r>
    </w:p>
    <w:p>
      <w:r>
        <w:rPr>
          <w:color w:val="555555"/>
          <w:sz w:val="17"/>
        </w:rPr>
        <w:t xml:space="preserve">Zitiervorschlag: Eingangsformel GVIDVDV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https://recht.nulegal.eu/gesetze/GVIDVDV%202025/eingangsformel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