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GVIDVDV 2025 — Nachteilsausgleich</w:t>
      </w:r>
    </w:p>
    <w:p>
      <w:r>
        <w:rPr>
          <w:color w:val="555555"/>
          <w:sz w:val="18"/>
        </w:rPr>
        <w:t xml:space="preserve">Verordnung über den Vorbereitungsdienst für den gehobenen Verwaltungsinformatikdienst des Bundes</w:t>
      </w:r>
    </w:p>
    <w:p>
      <w:r>
        <w:rPr>
          <w:color w:val="555555"/>
          <w:sz w:val="18"/>
        </w:rPr>
        <w:t xml:space="preserve">Stand: 13.04.2025 (konsolidierte Textfassung, kein amtliches Inkrafttretensdatum)</w:t>
      </w:r>
    </w:p>
    <w:p>
      <w:r>
        <w:t xml:space="preserve">(1) Menschen mit Schwerbehinderung, diesen gleichgestellten Menschen mit Behinderung und Menschen, die Beeinträchtigungen haben, die die Umsetzung der nachzuweisenden Kenntnisse einschränken, wird im Auswahlverfahren und bei Prüfungen auf Antrag ein angemessener Nachteilsausgleich gewährt. Auf die Möglichkeit des Nachteilsausgleichs ist vor Beginn des Auswahlverfahrens durch die Einstellungsbehörden und vor jedem Prüfungstermin durch das Prüfungsamt hinzuweisen.</w:t>
      </w:r>
    </w:p>
    <w:p>
      <w:r>
        <w:t xml:space="preserve">(2) Der Nachteilsausgleich soll die Chancengleichheit gegenüber Menschen ohne Behinderung und ohne Beeinträchtigung herstellen. Er darf nicht dazu führen, dass die Anforderungen an die Eignung herabgesetzt werden.</w:t>
      </w:r>
    </w:p>
    <w:p>
      <w:r>
        <w:t xml:space="preserve">(3) Über die Gewährung von Nachteilsausgleichen entscheidet</w:t>
      </w:r>
    </w:p>
    <w:p>
      <w:pPr>
        <w:ind w:left="420"/>
      </w:pPr>
      <w:r>
        <w:t xml:space="preserve">1. im Auswahlverfahren die Einstellungsbehörde,</w:t>
      </w:r>
    </w:p>
    <w:p>
      <w:pPr>
        <w:ind w:left="420"/>
      </w:pPr>
      <w:r>
        <w:t xml:space="preserve">2. bei Prüfungen das Prüfungsamt des Fachbereichs Finanzen.</w:t>
      </w:r>
    </w:p>
    <w:p>
      <w:r>
        <w:t xml:space="preserve">(4) Art und Umfang des Nachteilsausgleichs sind mit der betroffenen Person rechtzeitig zu erörtern. Zudem erfolgt eine Erörterung mit der Schwerbehindertenvertretung, sofern die betroffene Person dem nicht widerspricht.</w:t>
      </w:r>
    </w:p>
    <w:p>
      <w:r>
        <w:t xml:space="preserve">(5) Bei Bedarf kann ein ärztliches oder ein amtsärztliches Gutachten gefordert werden. Die Kosten für das Gutachten trägt die Einstellungsbehörde.</w:t>
      </w:r>
    </w:p>
    <w:p>
      <w:r>
        <w:t xml:space="preserve">(6) Gewährte Nachteilsausgleiche sind aktenkundig zu machen. Nach der Einstellung in den Vorbereitungsdienst teilt die Einstellungsbehörde mit Zustimmung der betroffenen Person die im Auswahlverfahren gewährten Nachteilsausgleiche dem Prüfungsamt mit.</w:t>
      </w:r>
    </w:p>
    <w:p>
      <w:r>
        <w:rPr>
          <w:color w:val="555555"/>
          <w:sz w:val="17"/>
        </w:rPr>
        <w:t xml:space="preserve">Zitiervorschlag: § 7 GVIDVDV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https://recht.nulegal.eu/gesetze/GVIDVDV%202025/7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