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GVIDVDV 2025 — Bachelorgrad</w:t>
      </w:r>
    </w:p>
    <w:p>
      <w:r>
        <w:rPr>
          <w:color w:val="555555"/>
          <w:sz w:val="18"/>
        </w:rPr>
        <w:t xml:space="preserve">Verordnung über den Vorbereitungsdienst für den gehobenen Verwaltungsinformatikdienst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Mit dem erfolgreichen Abschluss des Studiums wird der akademische Grad „Bachelor of Science (B. Sc.)“ verliehen.</w:t>
      </w:r>
    </w:p>
    <w:p>
      <w:r>
        <w:rPr>
          <w:color w:val="555555"/>
          <w:sz w:val="17"/>
        </w:rPr>
        <w:t xml:space="preserve">Zitiervorschlag: § 3 GVIDVDV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https://recht.nulegal.eu/gesetze/GVIDVDV%202025/3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