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GVIDVDV 2025 — Fachstudien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Fachstudien bestehen aus fachtheoretischen Lehrveranstaltungen.</w:t>
      </w:r>
    </w:p>
    <w:p>
      <w:r>
        <w:t xml:space="preserve">(2) Die Lehrveranstaltungen können Präsenzlehrveranstaltungen oder synchrone digitale Lehrveranstaltungen sein. Präsenzlehrveranstaltungen sind der Regelfall. Die Lehrveranstaltungen können durch geeignete digitale Lehrformate ergänzt werden. Die Teilnahme an den Lehrveranstaltungen ist verpflichtend.</w:t>
      </w:r>
    </w:p>
    <w:p>
      <w:r>
        <w:t xml:space="preserve">(3) Die Fachstudien liegen in der Verantwortung des Fachbereichs Finanzen. Sie werden von hauptamtlichen Lehrenden oder Lehrbeauftragten des Fachbereichs Finanzen durchgeführt.</w:t>
      </w:r>
    </w:p>
    <w:p>
      <w:r>
        <w:t xml:space="preserve">(4) Für die Fachstudien werden die Studierenden von den Einstellungsbehörden dem Fachbereich Finanzen zur Ausbildung zugewiesen.</w:t>
      </w:r>
    </w:p>
    <w:p>
      <w:r>
        <w:rPr>
          <w:color w:val="555555"/>
          <w:sz w:val="17"/>
        </w:rPr>
        <w:t xml:space="preserve">Zitiervorschlag: § 28 GVIDVDV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https://recht.nulegal.eu/gesetze/GVIDVDV%202025/28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GVIDVDV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