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Vorschriften über die Wahl oder Ernennung ehrenamtlicher Richter in der ordentlichen Gerichtsbarkeit einschließlich ihrer Vorbereitung, über die Voraussetzung hierfür, die Zuständigkeit und das dabei einzuschlagende Verfahren sowie über die allgemeinen Regeln über Auswahl und Zuziehung dieser ehrenamtlichen Richter zu den einzelnen Sitzungen sind erstmals auf die erste Amtsperiode der ehrenamtlichen Richter anzuwenden, die nicht früher als am ersten Tag des auf ihr Inkrafttreten folgenden zwölften Kalendermonats beginnt.</w:t>
      </w:r>
    </w:p>
    <w:p>
      <w:r>
        <w:t xml:space="preserve">(2) Vorschriften über die Dauer der Amtsperiode ehrenamtlicher Richter in der ordentlichen Gerichtsbarkeit sind erstmals auf die erste nach ihrem Inkrafttreten beginnende Amtsperiode anzuwenden.</w:t>
      </w:r>
    </w:p>
    <w:p>
      <w:r>
        <w:rPr>
          <w:color w:val="555555"/>
          <w:sz w:val="17"/>
        </w:rPr>
        <w:t xml:space="preserve">Zitiervorschlag: § 6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