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38a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Die §§ 31 bis 38 finden entsprechende Anwendung, wenn gegen einen Gefangenen ein Strafverfahren wegen des Verdachts der Bildung einer kriminellen Vereinigung (§ 129 des Strafgesetzbuches) eingeleitet worden ist oder eingeleitet wird, deren Zweck oder deren Tätigkeit darauf gerichtet ist,</w:t>
      </w:r>
    </w:p>
    <w:p>
      <w:pPr>
        <w:ind w:left="420"/>
      </w:pPr>
      <w:r>
        <w:t xml:space="preserve">1. Mord oder Totschlag (§§ 211, 212) oder Völkermord (§ 6 des Völkerstrafgesetzbuches),</w:t>
      </w:r>
    </w:p>
    <w:p>
      <w:pPr>
        <w:ind w:left="420"/>
      </w:pPr>
      <w:r>
        <w:t xml:space="preserve">2. Straftaten gegen die persönliche Freiheit in den Fällen des § 239a oder des § 239b oder</w:t>
      </w:r>
    </w:p>
    <w:p>
      <w:pPr>
        <w:ind w:left="420"/>
      </w:pPr>
      <w:r>
        <w:t xml:space="preserve">3. gemeingefährliche Straftaten in den Fällen der §§ 306 bis 308, des § 310b Abs. 1, des § 311 Abs. 1, des § 311a Abs. 1, der §§ 312, 316c Abs. 1 oder des § 319</w:t>
      </w:r>
    </w:p>
    <w:p>
      <w:r>
        <w:t xml:space="preserve">zu begehen. Sie finden entsprechende Anwendung auch für den Fall, dass der nach § 31 Satz 2 zweiter Halbsatz erforderliche dringende Tatverdacht sich auf eine Straftat nach § 129 des Strafgesetzbuches bezieht, die die Voraussetzungen des Satzes 1 Nr. 1 bis 3 erfüllt.</w:t>
      </w:r>
    </w:p>
    <w:p>
      <w:r>
        <w:t xml:space="preserve">(2) Das Gleiche gilt, wenn der Gefangene wegen einer solchen Straftat rechtskräftig verurteilt worden ist.</w:t>
      </w:r>
    </w:p>
    <w:p>
      <w:r>
        <w:rPr>
          <w:color w:val="555555"/>
          <w:sz w:val="17"/>
        </w:rPr>
        <w:t xml:space="preserve">Zitiervorschlag: § 38a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https://recht.nulegal.eu/gesetze/GVGEG/38a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