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GVGEG</w:t>
      </w:r>
    </w:p>
    <w:p>
      <w:r>
        <w:rPr>
          <w:color w:val="555555"/>
          <w:sz w:val="18"/>
        </w:rPr>
        <w:t xml:space="preserve">Einführungsgesetz zum 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31 bis 37 gelten entsprechend, wenn eine Maßregel der Besserung und Sicherung vollzogen wird oder wenn ein Unterbringungsbefehl nach § 126a der Strafprozeßordnung besteht.</w:t>
      </w:r>
    </w:p>
    <w:p>
      <w:r>
        <w:rPr>
          <w:color w:val="555555"/>
          <w:sz w:val="17"/>
        </w:rPr>
        <w:t xml:space="preserve">Zitiervorschlag: § 38 GVGEG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https://recht.nulegal.eu/gesetze/GVGEG/38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