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GVGEG</w:t>
      </w:r>
    </w:p>
    <w:p>
      <w:r>
        <w:rPr>
          <w:color w:val="555555"/>
          <w:sz w:val="18"/>
        </w:rPr>
        <w:t xml:space="preserve">Einführungsgesetz zum 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Rechtmäßigkeit einzelner Maßnahmen nach § 33 entscheidet auf Antrag ein Strafsenat des Oberlandesgerichts, in dessen Bezirk die Landesregierung ihren Sitz hat.</w:t>
      </w:r>
    </w:p>
    <w:p>
      <w:r>
        <w:t xml:space="preserve">(2) Stellt ein Gefangener einen Antrag nach Absatz 1, so ist der Antrag von einem Richter bei dem Amtsgericht aufzunehmen, in dessen Bezirk der Gefangene verwahrt wird.</w:t>
      </w:r>
    </w:p>
    <w:p>
      <w:r>
        <w:t xml:space="preserve">(3) Bei der Anhörung werden Tatsachen und Umstände soweit und solange nicht mitgeteilt, als die Mitteilung den Zweck der Unterbrechung gefährden würde. § 33a der Strafprozeßordnung gilt entsprechend.</w:t>
      </w:r>
    </w:p>
    <w:p>
      <w:r>
        <w:t xml:space="preserve">(4) Die Vorschriften des § 23 Abs. 2, des § 24 Abs. 1, des § 25 Abs. 2 und der §§ 26 bis 30 gelten entsprechend.</w:t>
      </w:r>
    </w:p>
    <w:p>
      <w:r>
        <w:rPr>
          <w:color w:val="555555"/>
          <w:sz w:val="17"/>
        </w:rPr>
        <w:t xml:space="preserve">Zitiervorschlag: § 37 GVGEG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https://recht.nulegal.eu/gesetze/GVGEG/37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