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Besteht eine gegenwärtige Gefahr für Leben, Leib oder Freiheit einer Person, begründen bestimmte Tatsachen den Verdacht, daß die Gefahr von einer terroristischen Vereinigung ausgeht, und ist es zur Abwehr dieser Gefahr geboten, jedwede Verbindung von Gefangenen untereinander und mit der Außenwelt zu unterbrechen, so kann eine entsprechende Feststellung getroffen werden. Die Feststellung darf sich nur auf Gefangene beziehen, die wegen einer Straftat nach § 129a, auch in Verbindung mit § 129b Abs. 1, des Strafgesetzbuches oder wegen einer der in dieser Vorschrift bezeichneten Straftaten rechtskräftig verurteilt sind oder gegen die ein Haftbefehl wegen des Verdachts einer solchen Straftat besteht; das gleiche gilt für solche Gefangene, die wegen einer anderen Straftat verurteilt oder die wegen des Verdachts einer anderen Straftat in Haft sind und gegen die der dringende Verdacht besteht, daß sie diese Tat im Zusammenhang mit einer Tat nach § 129a, auch in Verbindung mit § 129b Abs. 1, des Strafgesetzbuches begangen haben. Die Feststellung ist auf bestimmte Gefangene oder Gruppen von Gefangenen zu beschränken, wenn dies zur Abwehr der Gefahr ausreicht. Die Feststellung ist nach pflichtgemäßem Ermessen zu treffen. § 148 der Strafprozessordnung bleibt unberührt.</w:t>
      </w:r>
    </w:p>
    <w:p>
      <w:r>
        <w:t xml:space="preserve">(2) Für Gefangene, gegen die die öffentliche Klage noch nicht erhoben wurde oder die rechtskräftig verurteilt sind, kann die Feststellung nach Absatz 1 auf die Unterbrechung des mündlichen und schriftlichen Verkehrs mit dem Verteidiger erstreckt werden.</w:t>
      </w:r>
    </w:p>
    <w:p>
      <w:r>
        <w:rPr>
          <w:color w:val="555555"/>
          <w:sz w:val="17"/>
        </w:rPr>
        <w:t xml:space="preserve">Zitiervorschlag: § 31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