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GVGEG</w:t>
      </w:r>
    </w:p>
    <w:p>
      <w:r>
        <w:rPr>
          <w:color w:val="555555"/>
          <w:sz w:val="18"/>
        </w:rPr>
        <w:t xml:space="preserve">Einführungsgesetz zum Gerichtsverfassungsgesetz</w:t>
      </w:r>
    </w:p>
    <w:p>
      <w:r>
        <w:rPr>
          <w:color w:val="555555"/>
          <w:sz w:val="18"/>
        </w:rPr>
        <w:t xml:space="preserve">Stand: 10.06.2019 (konsolidierte Textfassung, kein amtliches Inkrafttretensdatum)</w:t>
      </w:r>
    </w:p>
    <w:p>
      <w:r>
        <w:t xml:space="preserve">Das Oberlandesgericht kann nach billigem Ermessen bestimmen, daß die außergerichtlichen Kosten des Antragstellers, die zur zweckentsprechenden Rechtsverfolgung notwendig waren, ganz oder teilweise aus der Staatskasse zu erstatten sind. Die Vorschriften des § 91 Abs. 1 Satz 2 und der §§ 103 bis 107 der Zivilprozeßordnung gelten entsprechend. Die Entscheidung des Oberlandesgerichts kann nicht angefochten werden.</w:t>
      </w:r>
    </w:p>
    <w:p>
      <w:r>
        <w:rPr>
          <w:color w:val="555555"/>
          <w:sz w:val="17"/>
        </w:rPr>
        <w:t xml:space="preserve">Zitiervorschlag: § 30 GVGEG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https://recht.nulegal.eu/gesetze/GVGEG/30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