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GVGEG</w:t>
      </w:r>
    </w:p>
    <w:p>
      <w:r>
        <w:rPr>
          <w:color w:val="555555"/>
          <w:sz w:val="18"/>
        </w:rPr>
        <w:t xml:space="preserve">Einführungsgesetz zum Gerichtsverfassungsgesetz</w:t>
      </w:r>
    </w:p>
    <w:p>
      <w:r>
        <w:rPr>
          <w:color w:val="555555"/>
          <w:sz w:val="18"/>
        </w:rPr>
        <w:t xml:space="preserve">Stand: 10.06.2019 (konsolidierte Textfassung, kein amtliches Inkrafttretensdatum)</w:t>
      </w:r>
    </w:p>
    <w:p>
      <w:r>
        <w:t xml:space="preserve">(1) Soweit die Maßnahme rechtswidrig und der Antragsteller dadurch in seinen Rechten verletzt ist, hebt das Gericht die Maßnahme und, soweit ein Beschwerdeverfahren (§ 24 Abs. 2) vorausgegangen ist, den Beschwerdebescheid auf. Ist die Maßnahme schon vollzogen, so kann das Gericht auf Antrag auch aussprechen, daß und wie die Justiz- oder Vollzugsbehörde die Vollziehung rückgängig zu machen hat. Dieser Ausspruch ist nur zulässig, wenn die Behörde dazu in der Lage und diese Frage spruchreif ist. Hat sich die Maßnahme vorher durch Zurücknahme oder anders erledigt, so spricht das Gericht auf Antrag aus, daß die Maßnahme rechtswidrig gewesen ist, wenn der Antragsteller ein berechtigtes Interesse an dieser Feststellung hat.</w:t>
      </w:r>
    </w:p>
    <w:p>
      <w:r>
        <w:t xml:space="preserve">(2) Soweit die Ablehnung oder Unterlassung der Maßnahme rechtswidrig und der Antragsteller dadurch in seinen Rechten verletzt ist, spricht das Gericht die Verpflichtung der Justiz- oder Vollzugsbehörde aus, die beantragte Amtshandlung vorzunehmen, wenn die Sache spruchreif ist. Andernfalls spricht es die Verpflichtung aus, den Antragsteller unter Beachtung der Rechtsauffassung des Gerichts zu bescheiden.</w:t>
      </w:r>
    </w:p>
    <w:p>
      <w:r>
        <w:t xml:space="preserve">(3) Soweit die Justiz- oder Vollzugsbehörde ermächtigt ist, nach ihrem Ermessen zu handeln, prüft das Gericht auch, ob die Maßnahme oder ihre Ablehnung oder Unterlassung rechtswidrig ist, weil die gesetzlichen Grenzen des Ermessens überschritten sind oder von dem Ermessen in einer dem Zweck der Ermächtigung nicht entsprechenden Weise Gebrauch gemacht ist.</w:t>
      </w:r>
    </w:p>
    <w:p>
      <w:r>
        <w:t xml:space="preserve">(4) Hat das Gericht die Rechtsbeschwerde gegen seine Entscheidung zugelassen (§ 29), ist dem Beschluss eine Belehrung über das Rechtsmittel sowie über das Gericht, bei dem es einzulegen ist, dessen Sitz und über die einzuhaltende Form und Frist beizufügen.</w:t>
      </w:r>
    </w:p>
    <w:p>
      <w:r>
        <w:rPr>
          <w:color w:val="555555"/>
          <w:sz w:val="17"/>
        </w:rPr>
        <w:t xml:space="preserve">Zitiervorschlag: § 28 GVGEG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https://recht.nulegal.eu/gesetze/GVGEG/28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