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27 GVGEG</w:t>
      </w:r>
    </w:p>
    <w:p>
      <w:r>
        <w:rPr>
          <w:color w:val="555555"/>
          <w:sz w:val="18"/>
        </w:rPr>
        <w:t xml:space="preserve">Einführungsgesetz zum Gerichtsverfassungsgesetz</w:t>
      </w:r>
    </w:p>
    <w:p>
      <w:r>
        <w:rPr>
          <w:color w:val="555555"/>
          <w:sz w:val="18"/>
        </w:rPr>
        <w:t xml:space="preserve">Stand: 10.06.2019 (konsolidierte Textfassung, kein amtliches Inkrafttretensdatum)</w:t>
      </w:r>
    </w:p>
    <w:p>
      <w:r>
        <w:t xml:space="preserve">(1) Ein Antrag auf gerichtliche Entscheidung kann auch gestellt werden, wenn über einen Antrag, eine Maßnahme zu treffen, oder über eine Beschwerde oder einen anderen förmlichen Rechtsbehelf ohne zureichenden Grund nicht innerhalb von drei Monaten entschieden ist. Das Gericht kann vor Ablauf dieser Frist angerufen werden, wenn dies wegen besonderer Umstände des Falles geboten ist.</w:t>
      </w:r>
    </w:p>
    <w:p>
      <w:r>
        <w:t xml:space="preserve">(2) Liegt ein zureichender Grund dafür vor, daß über die Beschwerde oder den förmlichen Rechtsbehelf noch nicht entschieden oder die beantragte Maßnahme noch nicht erlassen ist, so setzt das Gericht das Verfahren bis zum Ablauf einer von ihm bestimmten Frist, die verlängert werden kann, aus. Wird der Beschwerde innerhalb der vom Gericht gesetzten Frist stattgegeben oder der Verwaltungsakt innerhalb dieser Frist erlassen, so ist die Hauptsache für erledigt zu erklären.</w:t>
      </w:r>
    </w:p>
    <w:p>
      <w:r>
        <w:t xml:space="preserve">(3) Der Antrag nach Absatz 1 ist nur bis zum Ablauf eines Jahres seit der Einlegung der Beschwerde oder seit der Stellung des Antrags auf Vornahme der Maßnahme zulässig, außer wenn die Antragstellung vor Ablauf der Jahresfrist infolge höherer Gewalt unmöglich war oder unter den besonderen Verhältnissen des Einzelfalles unterblieben ist.</w:t>
      </w:r>
    </w:p>
    <w:p>
      <w:r>
        <w:rPr>
          <w:color w:val="555555"/>
          <w:sz w:val="17"/>
        </w:rPr>
        <w:t xml:space="preserve">Zitiervorschlag: § 27 GVGEG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https://recht.nulegal.eu/gesetze/GVGEG/27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