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Der Antrag auf gerichtliche Entscheidung muß innerhalb eines Monats nach Zustellung oder schriftlicher Bekanntgabe des Bescheides oder, soweit ein Beschwerdeverfahren (§ 24 Abs. 2) vorausgegangen ist, nach Zustellung des Beschwerdebescheides schriftlich oder zur Niederschrift der Geschäftsstelle des Oberlandesgerichts oder eines Amtsgerichts gestellt werden.</w:t>
      </w:r>
    </w:p>
    <w:p>
      <w:r>
        <w:t xml:space="preserve">(2) War der Antragsteller ohne Verschulden verhindert, die Frist einzuhalten, so ist ihm auf Antrag Wiedereinsetzung in den vorigen Stand zu gewähren. Ein Fehlen des Verschuldens wird vermutet, wenn in dem Bescheid oder, soweit ein Beschwerdeverfahren (§ 24 Absatz 2) vorausgegangen ist, in dem Beschwerdebescheid eine Belehrung über die Zulässigkeit des Antrags auf gerichtliche Entscheidung sowie über das Gericht, bei dem er zu stellen ist, dessen Sitz und die einzuhaltende Form und Frist unterblieben oder unrichtig erteilt ist.</w:t>
      </w:r>
    </w:p>
    <w:p>
      <w:r>
        <w:t xml:space="preserve">(3) Der Antrag auf Wiedereinsetzung ist binnen zwei Wochen nach Wegfall des Hindernisses zu stellen. Die Tatsachen zur Begründung des Antrags sind bei der Antragstellung oder im Verfahren über den Antrag glaubhaft zu machen. Innerhalb der Antragsfrist ist die versäumte Rechtshandlung nachzuholen. Ist dies geschehen, so kann die Wiedereinsetzung auch ohne Antrag gewährt werden.</w:t>
      </w:r>
    </w:p>
    <w:p>
      <w:r>
        <w:t xml:space="preserve">(4) Nach einem Jahr seit dem Ende der versäumten Frist ist der Antrag auf Wiedereinsetzung unzulässig, außer wenn der Antrag vor Ablauf der Jahresfrist infolge höherer Gewalt unmöglich war.</w:t>
      </w:r>
    </w:p>
    <w:p>
      <w:r>
        <w:rPr>
          <w:color w:val="555555"/>
          <w:sz w:val="17"/>
        </w:rPr>
        <w:t xml:space="preserve">Zitiervorschlag: § 26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