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25 GVGEG</w:t>
      </w:r>
    </w:p>
    <w:p>
      <w:r>
        <w:rPr>
          <w:color w:val="555555"/>
          <w:sz w:val="18"/>
        </w:rPr>
        <w:t xml:space="preserve">Einführungsgesetz zum Gerichtsverfassungsgesetz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Über den Antrag entscheidet ein Zivilsenat oder, wenn der Antrag eine Angelegenheit der Strafrechtspflege oder des Vollzugs betrifft, ein Strafsenat des Oberlandesgerichts, in dessen Bezirk die Justiz- oder Vollzugsbehörde ihren Sitz hat. Ist ein Beschwerdeverfahren (§ 24 Abs. 2) vorausgegangen, so ist das Oberlandesgericht zuständig, in dessen Bezirk die Beschwerdebehörde ihren Sitz hat.</w:t>
      </w:r>
    </w:p>
    <w:p>
      <w:r>
        <w:t xml:space="preserve">(2) Ein Land, in dem mehrere Oberlandesgerichte errichtet sind, kann durch Gesetz die nach Absatz 1 zur Zuständigkeit des Zivilsenats oder des Strafsenats gehörenden Entscheidungen ausschließlich einem der Oberlandesgerichte oder dem Obersten Landesgericht zuweisen.</w:t>
      </w:r>
    </w:p>
    <w:p>
      <w:r>
        <w:rPr>
          <w:color w:val="555555"/>
          <w:sz w:val="17"/>
        </w:rPr>
        <w:t xml:space="preserve">Zitiervorschlag: § 25 GVGEG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https://recht.nulegal.eu/gesetze/GVGEG/25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