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GVGEG</w:t>
      </w:r>
    </w:p>
    <w:p>
      <w:r>
        <w:rPr>
          <w:color w:val="555555"/>
          <w:sz w:val="18"/>
        </w:rPr>
        <w:t xml:space="preserve">Einführungsgesetz zum 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 auf gerichtliche Entscheidung ist nur zulässig, wenn der Antragsteller geltend macht, durch die Maßnahme oder ihre Ablehnung oder Unterlassung in seinen Rechten verletzt zu sein.</w:t>
      </w:r>
    </w:p>
    <w:p>
      <w:r>
        <w:t xml:space="preserve">(2) Soweit Maßnahmen der Justiz- oder Vollzugsbehörden der Beschwerde oder einem anderen förmlichen Rechtsbehelf im Verwaltungsverfahren unterliegen, kann der Antrag auf gerichtliche Entscheidung erst nach vorausgegangenem Beschwerdeverfahren gestellt werden.</w:t>
      </w:r>
    </w:p>
    <w:p>
      <w:r>
        <w:rPr>
          <w:color w:val="555555"/>
          <w:sz w:val="17"/>
        </w:rPr>
        <w:t xml:space="preserve">Zitiervorschlag: § 24 GVGEG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https://recht.nulegal.eu/gesetze/GVGEG/24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