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GVGEG</w:t>
      </w:r>
    </w:p>
    <w:p>
      <w:r>
        <w:rPr>
          <w:color w:val="555555"/>
          <w:sz w:val="18"/>
        </w:rPr>
        <w:t xml:space="preserve">Einführungsgesetz zum Gerichtsverfassungsgesetz</w:t>
      </w:r>
    </w:p>
    <w:p>
      <w:r>
        <w:rPr>
          <w:color w:val="555555"/>
          <w:sz w:val="18"/>
        </w:rPr>
        <w:t xml:space="preserve">Stand: 10.12.2019 (konsolidierte Textfassung, kein amtliches Inkrafttretensdatum)</w:t>
      </w:r>
    </w:p>
    <w:p>
      <w:r>
        <w:t xml:space="preserve">(1) Der betroffenen Person ist auf Antrag Auskunft über die übermittelten Daten und deren Empfänger zu erteilen. Der Antrag ist schriftlich zu stellen. Die Auskunft wird nur erteilt, soweit die betroffene Person Angaben macht, die das Auffinden der Daten ermöglichen, und der für die Erteilung der Auskunft erforderliche Aufwand nicht außer Verhältnis zu dem geltend gemachten Informationsinteresse steht. Die übermittelnde Stelle bestimmt das Verfahren, insbesondere die Form der Auskunftserteilung, nach pflichtgemäßem Ermessen.</w:t>
      </w:r>
    </w:p>
    <w:p>
      <w:r>
        <w:t xml:space="preserve">(2) Die betroffene Person ist gleichzeitig mit der Übermittlung personenbezogener Daten über den Inhalt und den Empfänger zu unterrichten. Die Unterrichtung des gesetzlichen Vertreters eines Minderjährigen, des Bevollmächtigten oder Verteidigers reicht aus. Die übermittelnde Stelle bestimmt die Form der Unterrichtung nach pflichtgemäßem Ermessen. Eine Pflicht zur Unterrichtung besteht nicht, wenn die Anschrift des zu Unterrichtenden nur mit unvertretbarem Aufwand festgestellt werden kann.</w:t>
      </w:r>
    </w:p>
    <w:p>
      <w:r>
        <w:t xml:space="preserve">(3) Bezieht sich die Auskunftserteilung oder die Unterrichtung auf die Übermittlung personenbezogener Daten an Verfassungsschutzbehörden, den Bundesnachrichtendienst, den Militärischen Abschirmdienst oder, soweit die Sicherheit des Bundes berührt wird, andere Behörden des Bundesministers der Verteidigung, ist sie nur mit Zustimmung dieser Stellen zulässig.</w:t>
      </w:r>
    </w:p>
    <w:p>
      <w:r>
        <w:t xml:space="preserve">(4) Die Auskunftserteilung und die Unterrichtung unterbleiben, soweit</w:t>
      </w:r>
    </w:p>
    <w:p>
      <w:pPr>
        <w:ind w:left="420"/>
      </w:pPr>
      <w:r>
        <w:t xml:space="preserve">1. sie die ordnungsgemäße Erfüllung der Aufgaben der übermittelnden Stelle oder des Empfängers gefährden würden,</w:t>
      </w:r>
    </w:p>
    <w:p>
      <w:pPr>
        <w:ind w:left="420"/>
      </w:pPr>
      <w:r>
        <w:t xml:space="preserve">2. sie die öffentliche Sicherheit oder Ordnung gefährden oder sonst dem Wohle des Bundes oder eines Landes Nachteile bereiten würden oder</w:t>
      </w:r>
    </w:p>
    <w:p>
      <w:pPr>
        <w:ind w:left="420"/>
      </w:pPr>
      <w:r>
        <w:t xml:space="preserve">3. die Daten oder die Tatsache ihrer Übermittlung nach einer Rechtsvorschrift oder ihrem Wesen nach, insbesondere wegen der überwiegenden berechtigten Interessen eines Dritten, geheimgehalten werden müssen</w:t>
      </w:r>
    </w:p>
    <w:p>
      <w:r>
        <w:t xml:space="preserve">und deswegen das Interesse der betroffenen Person an der Auskunftserteilung oder Unterrichtung zurücktreten muß. Die Unterrichtung der betroffenen Person unterbleibt ferner, wenn erhebliche Nachteile für seine Gesundheit zu befürchten sind.</w:t>
      </w:r>
    </w:p>
    <w:p>
      <w:r>
        <w:t xml:space="preserve">(5) Die Ablehnung der Auskunftserteilung bedarf keiner Begründung, soweit durch die Mitteilung der tatsächlichen und rechtlichen Gründe, auf die die Entscheidung gestützt wird, der mit der Auskunftsverweigerung verfolgte Zweck gefährdet würde.</w:t>
      </w:r>
    </w:p>
    <w:p>
      <w:r>
        <w:t xml:space="preserve">(6) Die Absätze 1 bis 5 gelten nicht im Anwendungsbereich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w:t>
      </w:r>
    </w:p>
    <w:p>
      <w:r>
        <w:rPr>
          <w:color w:val="555555"/>
          <w:sz w:val="17"/>
        </w:rPr>
        <w:t xml:space="preserve">Zitiervorschlag: § 21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