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Die Übermittlung personenbezogener Daten ist ferner zulässig, wenn die Kenntnis der Daten aus der Sicht der übermittelnden Stelle</w:t>
      </w:r>
    </w:p>
    <w:p>
      <w:pPr>
        <w:ind w:left="420"/>
      </w:pPr>
      <w:r>
        <w:t xml:space="preserve">1. zur Verfolgung von Straftaten oder Ordnungswidrigkeiten,</w:t>
      </w:r>
    </w:p>
    <w:p>
      <w:pPr>
        <w:ind w:left="420"/>
      </w:pPr>
      <w:r>
        <w:t xml:space="preserve">2. für ein Verfahren der internationalen Rechtshilfe,</w:t>
      </w:r>
    </w:p>
    <w:p>
      <w:pPr>
        <w:ind w:left="420"/>
      </w:pPr>
      <w:r>
        <w:t xml:space="preserve">3. zur Abwehr erheblicher Nachteile für das Gemeinwohl oder einer Gefahr für die öffentliche Sicherheit,</w:t>
      </w:r>
    </w:p>
    <w:p>
      <w:pPr>
        <w:ind w:left="420"/>
      </w:pPr>
      <w:r>
        <w:t xml:space="preserve">4. zur Abwehr einer schwerwiegenden Beeinträchtigung der Rechte einer anderen Person oder</w:t>
      </w:r>
    </w:p>
    <w:p>
      <w:pPr>
        <w:ind w:left="420"/>
      </w:pPr>
      <w:r>
        <w:t xml:space="preserve">5. zur Prüfung gewichtiger Anhaltspunkte für die Gefährdung des Wohls eines Kindes oder Jugendlichen</w:t>
      </w:r>
    </w:p>
    <w:p>
      <w:r>
        <w:t xml:space="preserve">erforderlich ist.</w:t>
      </w:r>
    </w:p>
    <w:p>
      <w:r>
        <w:rPr>
          <w:color w:val="555555"/>
          <w:sz w:val="17"/>
        </w:rPr>
        <w:t xml:space="preserve">Zitiervorschlag: § 17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