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16a GVGEG</w:t>
      </w:r>
    </w:p>
    <w:p>
      <w:r>
        <w:rPr>
          <w:color w:val="555555"/>
          <w:sz w:val="18"/>
        </w:rPr>
        <w:t xml:space="preserve">Einführungsgesetz zum Gerichtsverfassungsgesetz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Das Bundesamt für Justiz nach Maßgabe des Absatzes 2 und die von den Landesregierungen durch Rechtsverordnung bestimmten weiteren Stellen nehmen die Aufgaben der Kontaktstellen im Sinne des Artikels 2 der Entscheidung 2001/470/EG des Rates vom 28. Mai 2001 über die Einrichtung eines Europäischen Justiziellen Netzes für Zivil- und Handelssachen (ABl. EG Nr. L 174 S. 25) die durch die Entscheidung 568/2009/EG (ABl. L 168 vom 30.6.2009, S. 35) geändert worden ist, wahr.</w:t>
      </w:r>
    </w:p>
    <w:p>
      <w:r>
        <w:t xml:space="preserve">(2) Das Bundesamt für Justiz stellt die Koordinierung zwischen den Kontaktstellen sicher.</w:t>
      </w:r>
    </w:p>
    <w:p>
      <w:r>
        <w:t xml:space="preserve">(3) Die Landesregierungen werden ermächtigt, durch Rechtsverordnung die Aufgaben der Kontaktstelle einer Landesbehörde zuzuweisen. Sie können die Befugnis zum Erlass einer Rechtsverordnung nach Absatz 1 einer obersten Landesbehörde übertragen.</w:t>
      </w:r>
    </w:p>
    <w:p>
      <w:r>
        <w:rPr>
          <w:color w:val="555555"/>
          <w:sz w:val="17"/>
        </w:rPr>
        <w:t xml:space="preserve">Zitiervorschlag: § 16a GVGEG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https://recht.nulegal.eu/gesetze/GVGEG/16a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