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personenbezogene Daten an ausländische öffentliche Stellen oder an über- oder zwischenstaatliche Stellen nach den hierfür geltenden Rechtsvorschriften übermittelt, so ist eine Übermittlung dieser Daten auch zulässig</w:t>
      </w:r>
    </w:p>
    <w:p>
      <w:pPr>
        <w:ind w:left="420"/>
      </w:pPr>
      <w:r>
        <w:t xml:space="preserve">1. an das Bundesministerium der Justiz und für Verbraucherschutz und das Auswärtige Amt,</w:t>
      </w:r>
    </w:p>
    <w:p>
      <w:pPr>
        <w:ind w:left="420"/>
      </w:pPr>
      <w:r>
        <w:t xml:space="preserve">2. in Strafsachen gegen Mitglieder einer ausländischen konsularischen Vertretung zusätzlich an die Staats- oder Senatskanzlei des Landes, in dem die konsularische Vertretung ihren Sitz hat.</w:t>
      </w:r>
    </w:p>
    <w:p>
      <w:r>
        <w:rPr>
          <w:color w:val="555555"/>
          <w:sz w:val="17"/>
        </w:rPr>
        <w:t xml:space="preserve">Zitiervorschlag: § 16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