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GVGEG</w:t>
      </w:r>
    </w:p>
    <w:p>
      <w:r>
        <w:rPr>
          <w:color w:val="555555"/>
          <w:sz w:val="18"/>
        </w:rPr>
        <w:t xml:space="preserve">Einführungsgesetz zum Gerichtsverfassungsgesetz</w:t>
      </w:r>
    </w:p>
    <w:p>
      <w:r>
        <w:rPr>
          <w:color w:val="555555"/>
          <w:sz w:val="18"/>
        </w:rPr>
        <w:t xml:space="preserve">Stand: 31.10.2024 (konsolidierte Textfassung, kein amtliches Inkrafttretensdatum)</w:t>
      </w:r>
    </w:p>
    <w:p>
      <w:r>
        <w:t xml:space="preserve">(1) In Strafsachen ist die Übermittlung personenbezogener Daten des Beschuldigten, die den Gegenstand des Verfahrens betreffen, zulässig, wenn die Kenntnis der Daten aus der Sicht der übermittelnden Stelle erforderlich ist für</w:t>
      </w:r>
    </w:p>
    <w:p>
      <w:pPr>
        <w:ind w:left="420"/>
      </w:pPr>
      <w:r>
        <w:t xml:space="preserve">1. bis 3 (weggefallen)</w:t>
      </w:r>
    </w:p>
    <w:p>
      <w:pPr>
        <w:ind w:left="420"/>
      </w:pPr>
      <w:r>
        <w:t xml:space="preserve">4. dienstrechtliche Maßnahmen oder Maßnahmen der Aufsicht, falls</w:t>
      </w:r>
    </w:p>
    <w:p>
      <w:pPr>
        <w:ind w:left="780"/>
      </w:pPr>
      <w:r>
        <w:t xml:space="preserve">a) die betroffene Person wegen ihres Berufs- oder Amtsverhältnisses einer Dienst-; Staats- oder Standesaufsicht unterliegt, Geistlicher einer Kirche ist oder ein entsprechendes Amt bei einer anderen öffentlich-rechtlichen Religionsgesellschaft bekleidet oder Beamter einer Kirche oder einer Religionsgesellschaft ist und</w:t>
      </w:r>
    </w:p>
    <w:p>
      <w:pPr>
        <w:ind w:left="780"/>
      </w:pPr>
      <w:r>
        <w:t xml:space="preserve">b) die Daten auf eine Verletzung von Pflichten schließen lassen, die bei der Ausübung des Berufs oder der Wahrnehmung der Aufgaben aus dem Amtsverhältnis zu beachten sind oder in anderer Weise geeignet sind, Zweifel an der Eignung, Zuverlässigkeit oder Befähigung hervorzurufen,</w:t>
      </w:r>
    </w:p>
    <w:p>
      <w:pPr>
        <w:ind w:left="420"/>
      </w:pPr>
      <w:r>
        <w:t xml:space="preserve">5. die Entscheidung über eine Kündigung oder für andere arbeitsrechtliche Maßnahmen, für die Entscheidung über eine Amtsenthebung, für den Widerruf, die Rücknahme, die Einschränkung einer behördlichen Erlaubnis, Genehmigung oder Zulassung zur Ausübung eines Gewerbes, einer sonstigen wirtschaftlichen Unternehmung oder eines Berufs oder zum Führen einer Berufsbezeichnung, für die Untersagung der beruflichen, gewerblichen oder ehrenamtlichen Tätigkeit oder der sonstigen wirtschaftlichen Unternehmung oder für die Untersagung der Einstellung, Beschäftigung, Beaufsichtigung von Kindern und Jugendlichen, für die Untersagung der Durchführung der Berufsausbildung oder für die Anordnung einer Auflage, falls</w:t>
      </w:r>
    </w:p>
    <w:p>
      <w:pPr>
        <w:ind w:left="780"/>
      </w:pPr>
      <w:r>
        <w:t xml:space="preserve">a) die betroffene Person ein nicht unter Nummer 4 fallender Angehöriger des öffentlichen Dienstes oder des Dienstes einer öffentlich-rechtlichen Religionsgesellschaft, ein Gewerbetreibender oder ein Vertretungsberechtigter eines Gewerbetreibenden oder eine mit der Leitung eines Gewerbebetriebes oder einer sonstigen wirtschaftlichen Unternehmung beauftragte Person, ein sonstiger Berufstätiger oder Inhaber eines Ehrenamtes ist und</w:t>
      </w:r>
    </w:p>
    <w:p>
      <w:pPr>
        <w:ind w:left="780"/>
      </w:pPr>
      <w:r>
        <w:t xml:space="preserve">b) die Daten auf eine Verletzung von Pflichten schließen lassen, die bei der Ausübung des Dienstes, des Gewerbes, der sonstigen wirtschaftlichen Unternehmung, des Berufs oder des Ehrenamtes zu beachten sind oder in anderer Weise geeignet sind, Zweifel an der Eignung, Zuverlässigkeit oder Befähigung hervorzurufen,</w:t>
      </w:r>
    </w:p>
    <w:p>
      <w:pPr>
        <w:ind w:left="420"/>
      </w:pPr>
      <w:r>
        <w:t xml:space="preserve">6. Dienstordnungsmaßnahmen mit versorgungsrechtlichen Folgen oder für den Entzug von Hinterbliebenenversorgung, falls die betroffene Person aus einem öffentlich-rechtlichen Amts- oder Dienstverhältnis oder aus einem Amts- oder Dienstverhältnis mit einer Kirche oder anderen öffentlich-rechtlichen Religionsgesellschaft Versorgungsbezüge erhält oder zu beanspruchen hat,</w:t>
      </w:r>
    </w:p>
    <w:p>
      <w:pPr>
        <w:ind w:left="420"/>
      </w:pPr>
      <w:r>
        <w:t xml:space="preserve">7. den Widerruf, die Rücknahme, die Versagung oder Einschränkung der Berechtigung, der Erlaubnis oder der Genehmigung oder für die Anordnung einer Auflage, falls die betroffene Person</w:t>
      </w:r>
    </w:p>
    <w:p>
      <w:pPr>
        <w:ind w:left="780"/>
      </w:pPr>
      <w:r>
        <w:t xml:space="preserve">a) in einem besonderen gesetzlichen Sicherheitsanforderungen unterliegenden genehmigungs- oder erlaubnispflichtigen Betrieb verantwortlich tätig oder</w:t>
      </w:r>
    </w:p>
    <w:p>
      <w:pPr>
        <w:ind w:left="780"/>
      </w:pPr>
      <w:r>
        <w:t xml:space="preserve">b) Inhaber einer atom-, waffen-, sprengstoff-, gefahrstoff-, immissionsschutz-, abfall-, wasser-, seuchen-, tierseuchen-, betäubungsmittel- oder arzneimittelrechtlichen Berechtigung, Erlaubnis oder Genehmigung, einer Genehmigung nach dem Gentechnikgesetz, dem Gesetz über die Kontrolle von Kriegswaffen oder dem Außenwirtschaftsgesetz, einer Erlaubnis zur Arbeitsvermittlung nach dem Dritten Buch Sozialgesetzbuch, einer Verleiherlaubnis nach dem Arbeitnehmerüberlassungsgesetz, einer Erlaubnis nach tierschutzrechtlichen Vorschriften, eines Jagdscheins, eines Fischereischeins, einer verkehrsrechtlichen oder im übrigen einer sicherheitsrechtlichen Erlaubnis oder Befähigung ist oder einen entsprechenden Antrag gestellt hat,</w:t>
      </w:r>
    </w:p>
    <w:p>
      <w:pPr>
        <w:ind w:left="420"/>
      </w:pPr>
      <w:r>
        <w:t xml:space="preserve">8. Maßnahmen der Aufsicht, falls es sich</w:t>
      </w:r>
    </w:p>
    <w:p>
      <w:pPr>
        <w:ind w:left="780"/>
      </w:pPr>
      <w:r>
        <w:t xml:space="preserve">a) um Strafsachen im Zusammenhang mit Betriebsunfällen, in denen Zuwiderhandlungen gegen Unfallverhütungsvorschriften bekannt werden, oder</w:t>
      </w:r>
    </w:p>
    <w:p>
      <w:pPr>
        <w:ind w:left="780"/>
      </w:pPr>
      <w:r>
        <w:t xml:space="preserve">b) um Straftaten gegen Vorschriften zum Schutz der Arbeitskraft oder zum Schutz der Gesundheit von Arbeitnehmern handelt,</w:t>
      </w:r>
    </w:p>
    <w:p>
      <w:pPr>
        <w:ind w:left="420"/>
      </w:pPr>
      <w:r>
        <w:t xml:space="preserve">9. die Abwehr erheblicher Nachteile für Tiere und Pflanzen, Boden, Wasser, Luft, Klima und Landschaft sowie das kulturelle Erbe oder</w:t>
      </w:r>
    </w:p>
    <w:p>
      <w:pPr>
        <w:ind w:left="420"/>
      </w:pPr>
      <w:r>
        <w:t xml:space="preserve">10. die Untersagung des Besitzes von Waffen oder Munition, deren Erwerb nicht der Erlaubnis bedarf, sowie des Erwerbs solcher Waffen und Munition.</w:t>
      </w:r>
    </w:p>
    <w:p>
      <w:r>
        <w:t xml:space="preserve">(2) In Privatklageverfahren, in Verfahren wegen fahrlässig begangener Straftaten, in sonstigen Verfahren bei Verurteilung zu einer anderen Maßnahme als einer Strafe oder einer Maßnahme im Sinne des § 11 Abs. 1 Nr. 8 des Strafgesetzbuches, oder wenn das Verfahren eingestellt worden ist, unterbleibt die Übermittlung in den Fällen des Absatzes 1 Nr. 4 bis 9, wenn nicht besondere Umstände des Einzelfalles die Übermittlung erfordern. Die Übermittlung ist insbesondere erforderlich, wenn die Tat bereits ihrer Art nach geeignet ist, Zweifel an der Zuverlässigkeit oder Eignung der betroffenen Person für die gerade von ihr ausgeübte berufliche, gewerbliche oder ehrenamtliche Tätigkeit oder für die Wahrnehmung von Rechten aus einer ihr erteilten Berechtigung, Genehmigung oder Erlaubnis hervorzurufen. Die Sätze 1 und 2 gelten nicht bei Straftaten, durch die der Tod eines Menschen verursacht worden ist, und bei gefährlicher Körperverletzung. Im Falle der Einstellung des Verfahrens ist zu berücksichtigen, wie gesichert die zu übermittelnden Erkenntnisse sind.</w:t>
      </w:r>
    </w:p>
    <w:p>
      <w:r>
        <w:rPr>
          <w:color w:val="555555"/>
          <w:sz w:val="17"/>
        </w:rPr>
        <w:t xml:space="preserve">Zitiervorschlag: § 14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