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GVGEG</w:t>
      </w:r>
    </w:p>
    <w:p>
      <w:r>
        <w:rPr>
          <w:color w:val="555555"/>
          <w:sz w:val="18"/>
        </w:rPr>
        <w:t xml:space="preserve">Einführungsgesetz zum Gerichtsverfassungsgesetz</w:t>
      </w:r>
    </w:p>
    <w:p>
      <w:r>
        <w:rPr>
          <w:color w:val="555555"/>
          <w:sz w:val="18"/>
        </w:rPr>
        <w:t xml:space="preserve">Stand: 17.07.2024 (konsolidierte Textfassung, kein amtliches Inkrafttretensdatum)</w:t>
      </w:r>
    </w:p>
    <w:p>
      <w:r>
        <w:t xml:space="preserve">(1) Die allgemeinen sowie die in § 116 Abs. 1 Satz 2, §§ 117, 124, 130 Abs. 1 und § 181 Abs. 1 enthaltenen besonderen Vorschriften des Gerichtsverfassungsgesetzes finden auf die obersten Landesgerichte der ordentlichen Gerichtsbarkeit entsprechende Anwendung; ferner sind die Vorschriften der §§ 132, 138 des Gerichtsverfassungsgesetzes mit der Maßgabe entsprechend anzuwenden, daß durch Landesgesetz die Zahl der Mitglieder der Großen Senate anderweitig geregelt oder die Bildung eines einzigen Großen Senats angeordnet werden kann, der aus dem Präsidenten und mindestens acht Mitgliedern zu bestehen hat und an die Stelle der Großen Senate für Zivilsachen und für Strafsachen sowie der Vereinigten Großen Senate tritt.</w:t>
      </w:r>
    </w:p>
    <w:p>
      <w:r>
        <w:t xml:space="preserve">(2) Die Besetzung der Senate bestimmt sich in Strafsachen, in Grundbuchsachen und in Angelegenheiten der freiwilligen Gerichtsbarkeit nach den Vorschriften über die Oberlandesgerichte, im übrigen nach den Vorschriften über den Bundesgerichtshof.</w:t>
      </w:r>
    </w:p>
    <w:p>
      <w:r>
        <w:rPr>
          <w:color w:val="555555"/>
          <w:sz w:val="17"/>
        </w:rPr>
        <w:t xml:space="preserve">Zitiervorschlag: § 10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