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GVGA (Bayern) — Zulässigkeit des freihändigen Verkaufs (§§ 817a, 821, 825 ZPO)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Veräußerung erfolgt durch freihändigen Verkauf</w:t>
      </w:r>
    </w:p>
    <w:p>
      <w:r>
        <w:t xml:space="preserve">1. bei Gold- und Silbersachen, wenn bei der Versteigerung kein Gebot abgegeben worden ist, das den Gold- und Silberwert erreicht (§ 817a ZPO),</w:t>
      </w:r>
    </w:p>
    <w:p>
      <w:r>
        <w:t xml:space="preserve">2. bei Wertpapieren, die einen Börsen- oder Marktpreis haben (§ 821 ZPO),</w:t>
      </w:r>
    </w:p>
    <w:p>
      <w:r>
        <w:t xml:space="preserve">3. im Einzelfall auf Antrag des Gläubigers oder des Schuldners (§ 825 Absatz 1 ZPO).</w:t>
      </w:r>
    </w:p>
    <w:p>
      <w:r>
        <w:rPr>
          <w:color w:val="555555"/>
          <w:sz w:val="17"/>
        </w:rPr>
        <w:t xml:space="preserve">Zitiervorschlag: § 97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https://recht.nulegal.eu/gesetze/GVGA/97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