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GVGA (Bayern) — Versteigerungsprotokoll</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Protokoll über die Versteigerung hat insbesondere zu enthalten:</w:t>
      </w:r>
    </w:p>
    <w:p>
      <w:r>
        <w:t xml:space="preserve">1. die betreibenden Gläubiger nach ihrer Rangfolge;</w:t>
      </w:r>
    </w:p>
    <w:p>
      <w:r>
        <w:t xml:space="preserve">2. die Beträge der beizutreibenden Forderungen und der Zwangsvollstreckungskosten;</w:t>
      </w:r>
    </w:p>
    <w:p>
      <w:r>
        <w:t xml:space="preserve">3. den Hinweis auf die gesetzlichen Versteigerungsbedingungen oder den Wortlaut der Versteigerungsbedingungen, soweit von den gesetzlichen abweichende oder ergänzende Bestimmungen getroffen sind;</w:t>
      </w:r>
    </w:p>
    <w:p>
      <w:r>
        <w:t xml:space="preserve">4. die Bezeichnung der ausgebotenen Sachen sowie ihre Nummern nach dem Pfändungsprotokoll und die abgegebenen Meistgebote;</w:t>
      </w:r>
    </w:p>
    <w:p>
      <w:r>
        <w:t xml:space="preserve">5. die Namen der Bieter, denen der Zuschlag erteilt ist; bei Geboten über 100 Euro auch deren Anschriften; der Gerichtsvollzieher kann verlangen, dass ihm der Erwerber einen amtlichen Ausweis über seine Person vorlegt;</w:t>
      </w:r>
    </w:p>
    <w:p>
      <w:r>
        <w:t xml:space="preserve">6. die Angabe, dass der Kaufpreis bezahlt und die Sache abgeliefert ist oder dass Zahlung und Ablieferung unterblieben sind.</w:t>
      </w:r>
    </w:p>
    <w:p>
      <w:r>
        <w:t xml:space="preserve">(2) Die ausgebotenen Sachen sind sogleich beim Ausgebot im Versteigerungsprotokoll zu verzeichnen. Neben jeder Sache sind alsbald nach dem Zuschlag das Meistgebot und der Ersteher zu vermerken. Dasselbe gilt von der Zahlung des Kaufgeldes, sobald sie erfolgt. Die dem Meistgebot vorangegangenen Gebote und deren Bieter, die den Zuschlag nicht erhalten haben, sind nicht zu verzeichnen. Ein zurückgewiesenes Gebot ist im Protokoll zu vermerken, jedoch nicht in der Spalte, die für das Meistgebot bestimmt ist. Bei Gold- und Silbersachen ist zutreffendenfalls zu beurkunden, dass trotz des wiederholten Aufrufs kein Gebot abgegeben worden ist, das den Gold- und Silberwert deckt. Ein entsprechender Vermerk ist zu machen, wenn bei anderen Sachen nach § 95 Absatz 2 bis 8 ein Zuschlag nicht erteilt ist. Am Schluss des Verzeichnisses ist die Summe des erzielten Erlöses festzustellen.</w:t>
      </w:r>
    </w:p>
    <w:p>
      <w:r>
        <w:t xml:space="preserve">(3) Das Protokoll braucht nicht im Ganzen vorgelesen zu werden. Von den Bietern brauchen nur diejenigen in oder unter dem Protokoll zu unterzeichnen, die den Zuschlag erhalten haben oder – falls der Zuschlag im Termin nicht erteilt ist – an ihr Gebot gebunden bleiben. Unterbleibt die Unterzeichnung, etwa weil ein Beteiligter sich entfernt hat oder die Unterschrift verweigert, so ist der Grund dafür im Protokoll aufzunehmen.</w:t>
      </w:r>
    </w:p>
    <w:p>
      <w:r>
        <w:rPr>
          <w:color w:val="555555"/>
          <w:sz w:val="17"/>
        </w:rPr>
        <w:t xml:space="preserve">Zitiervorschlag: § 96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