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GVGA (Bayern) — Unterbringung anderer Pfandstücke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ist verpflichtet, für eine sichere Unterbringung und Verwahrung der Pfandstücke zu sorgen, die er nicht im Gewahrsam des Schuldners belässt. Er muss auch die notwendigen Maßnahmen zur Erhaltung der Pfandstücke treffen. Er hat hierbei besondere Sorgfalt anzuwenden, um Schadensersatzansprüche wegen Verlustes oder Beschädigung der Sachen zu vermeiden.</w:t>
      </w:r>
    </w:p>
    <w:p>
      <w:r>
        <w:t xml:space="preserve">(2) Im Pfändungsprotokoll oder in einem Nachtrag darunter vermerkt der Gerichtsvollzieher, welche Maßnahmen er zur Unterbringung der Pfandstücke getroffen hat. Entfernt er die Pfandstücke erst nachträglich aus dem Gewahrsam des Schuldners, so nimmt er auch darüber ein Protokoll auf; jedoch genügt ein Vermerk im Versteigerungsprotokoll, wenn die Wegschaffung nur zum Zwecke der anschließenden sofortigen Versteigerung erfolgt.</w:t>
      </w:r>
    </w:p>
    <w:p>
      <w:r>
        <w:t xml:space="preserve">(3) Die in der Pfandkammer verwahrten Sachen bezeichnet der Gerichtsvollzieher mit der Geschäftsnummer, die der Vorgang bei ihm hat. Er bewahrt sie getrennt von den Sachen auf, die zu anderen Zwangsvollstreckungen gehören. Der Gerichtsvollzieher darf die Pfandkammer nicht zur Verwahrung benutzen, wenn die Versteigerung der Pfandstücke an einem anderen Ort notwendig oder zweckmäßig ist, wenn die Pfandstücke nach ihrer Beschaffenheit zur Verwahrung in der Pfandkammer nicht geeignet sind oder wenn die Beförderung zur Pfandkammer besondere Schwierigkeiten bereiten oder außergewöhnlich hohe Kosten verursachen würde.</w:t>
      </w:r>
    </w:p>
    <w:p>
      <w:r>
        <w:t xml:space="preserve">(4) Pfandstücke, die der Gerichtsvollzieher nicht nach § 89 oder in einer Pfandkammer verwahren kann, übergibt er einem Verwahrer. Zum Verwahrer soll er möglichst nur eine zuverlässige, zahlungsfähige und am Ort der Vollstreckung ansässige Person wählen; bei ihrer Auswahl ist in Landgemeinden tunlichst die Mitwirkung des Hauptverwaltungsbeamten der Gemeinde zu erbitten, falls dieser die Verwahrung nicht selbst übernimmt. Die Bestellung des Gläubigers zum Verwahrer wird in der Regel nicht angebracht sein. Die Vergütung für die Verwahrung, Beaufsichtigung und gegebenenfalls auch für die Erhaltung der Sache vereinbart der Gerichtsvollzieher mit dem Verwahrer möglichst bei Übergabe. Der Verwahrungsvertrag soll schriftlich abgeschlossen werden. Der Verwahrer hat unter einem Verzeichnis der übergebenen Sachen ihren Empfang zu bescheinigen; eine Abschrift dieses Verzeichnisses nebst der Bescheinigung ist ihm auf Verlangen auszuhändigen. Der Gerichtsvollzieher vermerkt die Bestellung eines Verwahrers und die mit ihm getroffenen Vereinbarungen im Pfändungsprotokoll oder in einem Nachtrag darunter. Er verbindet die Bescheinigung des Verwahrers über den Empfang mit dem Protokoll, sofern sie nicht in das Protokoll selbst aufgenommen ist.</w:t>
      </w:r>
    </w:p>
    <w:p>
      <w:r>
        <w:t xml:space="preserve">(5) Belässt der Gerichtsvollzieher gepfändete Tiere nicht im Gewahrsam des Schuldners, so ist er verpflichtet, die notwendigen Maßnahmen für die ordnungsgemäße Fütterung und Pflege der Tiere zu treffen. Werden ihm die hierzu nötigen Geldmittel nicht rechtzeitig zur Verfügung gestellt, so versteigert er die Tiere unverzüglich, selbst wenn er hierbei die Fristen für die Vornahme und die Bekanntmachung der Versteigerung nicht einhalten kann (§ 816 ZPO).</w:t>
      </w:r>
    </w:p>
    <w:p>
      <w:r>
        <w:t xml:space="preserve">(6) Gepfändete oder zu verwertende Waffen sind entsprechend dem Waffengesetz (WaffG) und der Allgemeinen Waffengesetz-Verordnung (AWaffV) zu verwahren.</w:t>
      </w:r>
    </w:p>
    <w:p>
      <w:r>
        <w:rPr>
          <w:color w:val="555555"/>
          <w:sz w:val="17"/>
        </w:rPr>
        <w:t xml:space="preserve">Zitiervorschlag: § 90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