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GVGA (Bayern) — Zuständigkeit im Allgemeinen</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(1) Der Gerichtsvollzieher ist zuständig, im Auftrag eines Beteiligten Zustellungen in bürgerlichen Rechtsstreitigkeiten, in Strafsachen und in nichtgerichtlichen Angelegenheiten durchzuführen, soweit eine Zustellung auf Betreiben der Parteien zugelassen oder vorgeschrieben ist. Ferner hat er im Auftrag des Verhandlungsleiters Schiedssprüche nach dem Arbeitsgerichtsgesetz zuzustellen. Schiedssprüche nach der Zivilprozessordnung stellt der Gerichtsvollzieher zu, wenn er mit der Zustellung beauftragt wird.</w:t>
      </w:r>
    </w:p>
    <w:p>
      <w:r>
        <w:t xml:space="preserve">(2) Für Zustellungen von Amts wegen ist der Gerichtsvollzieher zuständig, soweit ihm solche Zustellungen durch Gesetz, Rechtsverordnung oder Verwaltungsanordnung übertragen sind oder ihn der Vorsitzende des Prozessgerichts oder ein von diesem bestimmtes Mitglied des Prozessgerichts mit der Ausführung der Zustellung beauftragt. Er führt sie nach den dafür bestehenden besonderen Vorschriften aus.</w:t>
      </w:r>
    </w:p>
    <w:p>
      <w:r>
        <w:rPr>
          <w:color w:val="555555"/>
          <w:sz w:val="17"/>
        </w:rPr>
        <w:t xml:space="preserve">Zitiervorschlag: § 9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