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88 GVGA (Bayern) — Pfändung von Sachen, die sich im Gewahrsam des Gläubigers oder eines Dritten befinden (§ 809 ZPO)</w:t>
      </w:r>
    </w:p>
    <w:p>
      <w:r>
        <w:rPr>
          <w:color w:val="555555"/>
          <w:sz w:val="18"/>
        </w:rPr>
        <w:t xml:space="preserve">Geschäftsanweisung für Gerichtsvollzieher</w:t>
      </w:r>
    </w:p>
    <w:p>
      <w:r>
        <w:rPr>
          <w:color w:val="555555"/>
          <w:sz w:val="18"/>
        </w:rPr>
        <w:t xml:space="preserve">Landesrecht Bayern</w:t>
      </w:r>
    </w:p>
    <w:p>
      <w:r>
        <w:rPr>
          <w:color w:val="555555"/>
          <w:sz w:val="18"/>
        </w:rPr>
        <w:t xml:space="preserve">Stand: 25.08.2026 (konsolidierte Textfassung, kein amtliches Inkrafttretensdatum)</w:t>
      </w:r>
    </w:p>
    <w:p>
      <w:r>
        <w:t xml:space="preserve">Die Pfändung von Sachen im Gewahrsam des Gläubigers oder eines Dritten (§ 70 Absatz 2) geschieht ebenso wie die Pfändung von Sachen im Gewahrsam des Schuldners. Der Sachverhalt, insbesondere die Erklärung des Dritten, ob er zur Herausgabe bereit sei oder nicht, ist im Protokoll zu vermerken. Verlangt der Gewahrsamsinhaber die Fortschaffung der Pfandstücke, so ist diesem Verlangen stattzugeben. Von einer Pfändung bei dem Gläubiger oder einem Dritten ist der Schuldner durch Übersendung einer Protokollabschrift zu benachrichtigen. Auf Antrag ist auch dem Dritten eine Protokollabschrift zu erteilen.</w:t>
      </w:r>
    </w:p>
    <w:p>
      <w:r>
        <w:rPr>
          <w:color w:val="555555"/>
          <w:sz w:val="17"/>
        </w:rPr>
        <w:t xml:space="preserve">Zitiervorschlag: § 88 GVGA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https://recht.nulegal.eu/gesetze/GVGA/88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