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GVGA (Bayern) — Besondere Vorschriften über das Pfändungsprotokoll (§§ 762, 763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Pfändungsprotokoll muss enthalten:</w:t>
      </w:r>
    </w:p>
    <w:p>
      <w:r>
        <w:t xml:space="preserve">1. ein genaues Verzeichnis der Pfandstücke unter fortlaufender Nummer, geeignetenfalls mit Angabe der Zahl, des Maßes, des Gewichts, der besonderen Merkmale und Kennzeichen der gepfändeten Sachen (zum Beispiel Fabrikmarke, Baujahr, Typ, Fabriknummer und dergleichen) nebst den vom Gerichtsvollzieher oder einem Sachverständigen geschätzten gewöhnlichen Verkaufswerten;</w:t>
      </w:r>
    </w:p>
    <w:p>
      <w:r>
        <w:t xml:space="preserve">2. eine Beschreibung der angelegten Pfandzeichen;</w:t>
      </w:r>
    </w:p>
    <w:p>
      <w:r>
        <w:t xml:space="preserve">3. den wesentlichen Inhalt der Eröffnungen, die dem Schuldner oder den in § 81 Absatz 1 Satz 2 bezeichneten Personen gemacht sind.</w:t>
      </w:r>
    </w:p>
    <w:p>
      <w:r>
        <w:t xml:space="preserve">Es soll ferner den Inhalt der angebrachten Pfandanzeigen sowie den Inhalt der Vereinbarungen wiedergeben, die mit einem Hüter (§ 82 Absatz 2) getroffen sind.</w:t>
      </w:r>
    </w:p>
    <w:p>
      <w:r>
        <w:t xml:space="preserve">(2) Werden Pfandstücke aus dem Gewahrsam des Schuldners entfernt, so ist dies im Protokoll zu begründen. Auch ist anzugeben, welche Maßnahmen für die Verwahrung der Pfandstücke getroffen sind (vergleiche § 90 Absatz 2).</w:t>
      </w:r>
    </w:p>
    <w:p>
      <w:r>
        <w:t xml:space="preserve">(3) Das Protokoll hat auch die Angaben der Zeit und des Ortes des Versteigerungstermins oder die Gründe zu enthalten, aus denen die sofortige Ansetzung des Versteigerungstermins unterblieben ist (vergleiche § 92).</w:t>
      </w:r>
    </w:p>
    <w:p>
      <w:r>
        <w:t xml:space="preserve">(4) Sind dieselben Sachen gleichzeitig für denselben Gläubiger gegen denselben Schuldner auf Grund mehrerer Schuldtitel gepfändet, so ist nur ein Protokoll aufzunehmen. In diesem sind die einzelnen Schuldtitel genau zu bezeichnen.</w:t>
      </w:r>
    </w:p>
    <w:p>
      <w:r>
        <w:t xml:space="preserve">(5) Eine Abschrift des Pfändungsprotokolls ist zu erteilen:</w:t>
      </w:r>
    </w:p>
    <w:p>
      <w:r>
        <w:t xml:space="preserve">1. dem Gläubiger, wenn er es verlangt,</w:t>
      </w:r>
    </w:p>
    <w:p>
      <w:r>
        <w:t xml:space="preserve">2. dem Schuldner, wenn er es verlangt oder wenn die Vollstreckung in seiner Abwesenheit stattgefunden hat.</w:t>
      </w:r>
    </w:p>
    <w:p>
      <w:r>
        <w:t xml:space="preserve">Die Absendung ist auf dem Protokoll zu vermerken.</w:t>
      </w:r>
    </w:p>
    <w:p>
      <w:r>
        <w:t xml:space="preserve">(6) Kann eine Pfändung überhaupt nicht oder nicht in Höhe der beizutreibenden Forderung erfolgen, weil der Schuldner nur Sachen besitzt, die nicht gepfändet werden dürfen oder nicht gepfändet werden sollen oder von deren Verwertung ein Überschuss über die Kosten der Zwangsvollstreckung nicht zu erwarten ist, so genügt im Protokoll der allgemeine Hinweis, dass eine Pfändung aus diesen Gründen unterblieben ist. Abweichend von Satz 1 sind im Protokoll zu verzeichnen:</w:t>
      </w:r>
    </w:p>
    <w:p>
      <w:r>
        <w:t xml:space="preserve">1. Sachen, deren Pfändung vom Gläubiger ausdrücklich beantragt war, unter Angabe der Gründe, aus denen der Gerichtsvollzieher von einer Pfändung abgesehen hat,</w:t>
      </w:r>
    </w:p>
    <w:p>
      <w:r>
        <w:t xml:space="preserve">2. die Art der Früchte, die vom Boden noch nicht getrennt sind, und die gewöhnliche Zeit der Reife, wenn eine Pfändung noch nicht erfolgen durfte (§ 810 Absatz 1 Satz 2 ZPO),</w:t>
      </w:r>
    </w:p>
    <w:p>
      <w:r>
        <w:t xml:space="preserve">3. Art, Beschaffenheit und Wert der Sachen, wenn eine Austauschpfändung (§ 811a ZPO) in Betracht kommt, unter Angabe der Gründe, aus denen der Gerichtsvollzieher von einer vorläufigen Austauschpfändung (§ 811b ZPO) abgesehen hat,</w:t>
      </w:r>
    </w:p>
    <w:p>
      <w:r>
        <w:t xml:space="preserve">4. Art und Wert eines Tieres, das im häuslichen Bereich und nicht zu Erwerbszwecken gehalten wird, wenn dessen Pfändung in Betracht kommt (§ 811 Absatz 3 ZPO).</w:t>
      </w:r>
    </w:p>
    <w:p>
      <w:r>
        <w:t xml:space="preserve">Sind bereits Entscheidungen des Vollstreckungsgerichts ergangen, durch die die Unpfändbarkeit vergleichbarer Sachen festgestellt wurde, so soll sie der Gerichtsvollzieher im Protokoll erwähnen, soweit sie für den Gläubiger von Belang sind.</w:t>
      </w:r>
    </w:p>
    <w:p>
      <w:r>
        <w:rPr>
          <w:color w:val="555555"/>
          <w:sz w:val="17"/>
        </w:rPr>
        <w:t xml:space="preserve">Zitiervorschlag: § 86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