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GVGA (Bayern) — Aufsuchen und Auswahl der Pfandstücke</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Bleibt die Aufforderung zur Leistung (§ 59 Absatz 2) ohne Erfolg, so fordert der Gerichtsvollzieher den Schuldner auf, ihm seine bewegliche Habe vorzuzeigen und – soweit der Zweck der Vollstreckung es erfordert – seine Zimmer, Keller, Böden und anderen Räume sowie die darin befindlichen Schränke, Kästen und anderen Behältnisse zu öffnen. Trifft der Gerichtsvollzieher den Schuldner nicht an, so richtet er eine entsprechende Aufforderung an eine zur Familie des Schuldners gehörige oder beim Schuldner beschäftigte erwachsene Person, die er in der Wohnung oder in den Geschäftsräumen antrifft. Werden die Behältnisse nicht freiwillig geöffnet oder trifft der Gerichtsvollzieher weder den Schuldner noch eine der vorstehend bezeichneten Personen an, so wendet er Gewalt an und verfährt dabei nach den §§ 61 und 62 (§§ 758, 759 ZPO).</w:t>
      </w:r>
    </w:p>
    <w:p>
      <w:r>
        <w:t xml:space="preserve">(2) Bei der Auswahl der zu pfändenden Gegenstände achtet der Gerichtsvollzieher darauf, dass der Gläubiger auf dem kürzesten Wege befriedigt wird, ohne dass der Hausstand des Schuldners unnötig beeinträchtigt wird. Der Gerichtsvollzieher richtet daher die Pfändung in erster Linie auf Geld, Kostbarkeiten oder solche Wertpapiere, die den Vorschriften über die Zwangsvollstreckung in bewegliche körperliche Sachen unterliegen (vergleiche §§ 104 bis 106), sowie auf Sachen, die der Schuldner sonst am ehesten entbehren kann. Sachen, deren Aufbewahrung, Unterhaltung oder Fortschaffung unverhältnismäßig hohe Kosten verursachen oder deren Versteigerung nur mit großem Verlust oder mit großen Schwierigkeiten möglich sein würde, pfändet er nur, wenn keine anderen Pfandstücke in ausreichendem Maße vorhanden sind. Ist es zweifelhaft, ob die Pfändung eines im Besitz des Schuldners befindlichen Wertpapiers durch den Gerichtsvollzieher zulässig ist, und sind keine anderen geeigneten Pfandstücke vorhanden, so pfändet der Gerichtsvollzieher das Papier einstweilen und überlässt es dem Gläubiger, den notwendigen Gerichtsbeschluss herbeizuführen.</w:t>
      </w:r>
    </w:p>
    <w:p>
      <w:r>
        <w:rPr>
          <w:color w:val="555555"/>
          <w:sz w:val="17"/>
        </w:rPr>
        <w:t xml:space="preserve">Zitiervorschlag: § 81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