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GVGA (Bayern) — Berechnung der Forderung des Gläubigers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Vor der Pfändung berechnet der Gerichtsvollzieher den Betrag der beizutreibenden Geldsumme oder prüft die vom Gläubiger aufgestellte Berechnung nach; Herabsetzungen, die sich aus der Nachprüfung ergeben, teilt er dem Gläubiger mit. Bei der Feststellung des Betrags kommen insbesondere in Betracht:</w:t>
      </w:r>
    </w:p>
    <w:p>
      <w:r>
        <w:t xml:space="preserve">1. die im Schuldtitel bezeichnete Hauptforderung;</w:t>
      </w:r>
    </w:p>
    <w:p>
      <w:r>
        <w:t xml:space="preserve">2. die Nebenforderungen, die dem Gläubiger im Schuldtitel zuerkannt sind. Hierbei sind Zinsen, die dem Gläubiger ohne Bestimmung des Endes des Zinsenlaufes zugesprochen sind, vorläufig bis zu dem Tage anzusetzen, an dem die Zwangsvollstreckung erfolgt. Die Berechnung erfolgt – für den Fall, dass der Schuldner an diesem Tag nicht zahlt – vorbehaltlich der Erhöhung um den Zinsenbetrag bis zu dem Tage, an dem der Erlös der gepfändeten Sachen voraussichtlich in die Hände des Gerichtsvollziehers gelangt (§ 819 ZPO);</w:t>
      </w:r>
    </w:p>
    <w:p>
      <w:r>
        <w:t xml:space="preserve">3. die Prozesskosten. Diese sind jedoch nur insoweit zu berücksichtigen, als sich ihr Betrag aus einem auf die vollstreckbare Ausfertigung des Titels gesetzten oder aus dem vom Gläubiger in besonderer Ausfertigung zu überreichenden Festsetzungsbeschluss ergibt;</w:t>
      </w:r>
    </w:p>
    <w:p>
      <w:r>
        <w:t xml:space="preserve">4. die Kosten der Zwangsvollstreckung.</w:t>
      </w:r>
    </w:p>
    <w:p>
      <w:r>
        <w:t xml:space="preserve">(2) Bei der Berechnung nach Absatz 1 Satz 2 sind etwaige Abschlagszahlungen des Schuldners zu berücksichtigen. Die Verrechnung geschieht nach den §§ 366 und 367 BGB. Handelt es sich um eine Forderung auf Grund eines Verbraucherdarlehensvertrages (§ 491 BGB), so richtet sich die Verrechnung nach § 497 Absatz 3 BGB.</w:t>
      </w:r>
    </w:p>
    <w:p>
      <w:r>
        <w:t xml:space="preserve">(3) Unter besonderen Umständen kann der Gerichtsvollzieher vom Gläubiger eine Berechnung der Forderung verlangen, insbesondere, wenn es wegen zahlreicher Posten mit verschiedenem Zinsenlauf und mit Abschlagszahlungen einer umfangreichen Berechnung bedarf.</w:t>
      </w:r>
    </w:p>
    <w:p>
      <w:r>
        <w:t xml:space="preserve">(4) Ist die Geldforderung in einer ausländischen Währung ausgedrückt, so erfolgt die Umrechnung nach dem Kurswert, der zur Zeit der Zahlung für den Zahlungsort maßgebend ist (§ 244 Absatz 2 BGB). Bei der Berechnung des Betrags ist daher seine Erhöhung oder Herabsetzung entsprechend dem am Zahltage geltenden Kurs vorzubehalten.</w:t>
      </w:r>
    </w:p>
    <w:p>
      <w:r>
        <w:t xml:space="preserve">(5) Sind nach dem Schuldtitel mehrere zur Zahlung verpflichtet, so schuldet im Zweifel jeder nur den gleichen Anteil (§ 420 BGB). Haften mehrere als Gesamtschuldner (§ 421 BGB), so kann bei jedem von ihnen bis zur vollen Deckung der Forderung vollstreckt werden. Die Haftung als Gesamtschuldner muss sich aus dem vollstreckbaren Titel ergeben.</w:t>
      </w:r>
    </w:p>
    <w:p>
      <w:r>
        <w:rPr>
          <w:color w:val="555555"/>
          <w:sz w:val="17"/>
        </w:rPr>
        <w:t xml:space="preserve">Zitiervorschlag: § 80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