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GVGA (Bayern) — Pfändung von Erzeugnissen, Bestandteilen und Zubehörstücken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Bewegliche Sachen, auf die sich bei Grundstücken die Hypothek erstreckt und die daher der Zwangsvollstreckung in das unbewegliche Vermögen unterliegen, sind nur nach Maßgabe des § 865 ZPO pfändbar. Der Gerichtsvollzieher hat hierbei die Absätze 2 bis 5 zu beachten.</w:t>
      </w:r>
    </w:p>
    <w:p>
      <w:r>
        <w:t xml:space="preserve">(2) Das Bürgerliche Gesetzbuch bestimmt in den §§ 1120 bis 1122, auf welche Gegenstände außer dem Grundstück nebst hängenden und stehenden Früchten sich die Hypothek erstreckt. Insbesondere gehören hierzu die vom Boden getrennten Erzeugnisse, die sonstigen Bestandteile sowie die Zubehörstücke eines Grundstücks, sofern diese Gegenstände in das Eigentum des Grundstückseigentümers gelangt und nicht wieder veräußert, auch nicht von dem Grundstück entfernt sind.</w:t>
      </w:r>
    </w:p>
    <w:p>
      <w:r>
        <w:t xml:space="preserve">(3) Der Gerichtsvollzieher hat hinsichtlich dieser Gegenstände zu unterscheiden:</w:t>
      </w:r>
    </w:p>
    <w:p>
      <w:r>
        <w:t xml:space="preserve">1. Zubehörstücke eines Grundstücks, die dem Grundstückseigentümer gehören, sind unpfändbar. Was Zubehör ist, bestimmen die §§ 97 und 98 BGB. Der Gerichtsvollzieher darf zum Beispiel bei der Zwangsvollstreckung gegen den Eigentümer eines landwirtschaftlichen Betriebes das Milch- und Zuchtvieh, bei der Zwangsvollstreckung gegen den Eigentümer einer Fabrik die zum Betrieb bestimmten Maschinen nicht pfänden.</w:t>
      </w:r>
    </w:p>
    <w:p>
      <w:r>
        <w:t xml:space="preserve">2. Im Übrigen unterliegen die Gegenstände, auf die sich die Hypothek erstreckt (zum Beispiel Getreidevorräte auf einem landwirtschaftlichen Betrieb, die nicht zur Fortführung der Wirtschaft, sondern zum Verkauf bestimmt sind, § 98 BGB), der Pfändung, solange nicht ihre Beschlagnahme im Wege der Zwangsvollstreckung in das unbewegliche Vermögen erfolgt ist.</w:t>
      </w:r>
    </w:p>
    <w:p>
      <w:r>
        <w:t xml:space="preserve">(4) Für die Zwangsvollstreckung in Früchte, die noch nicht vom Boden getrennt sind, gelten die besonderen Regelungen der §§ 101 bis 103.</w:t>
      </w:r>
    </w:p>
    <w:p>
      <w:r>
        <w:t xml:space="preserve">(5) Die genannten Vorschriften finden entsprechende Anwendung auf die Zwangsvollstreckung in Erzeugnisse oder Zubehörteile einer Berechtigung, für welche die Vorschriften gelten, die sich auf Grundstücke beziehen.</w:t>
      </w:r>
    </w:p>
    <w:p>
      <w:r>
        <w:t xml:space="preserve">(6) Die Schiffshypothek bei Schiffen, Schiffsbauwerken, im Bau befindlichen oder fertig gestellten Schwimmdocks sowie das Registerpfandrecht bei Luftfahrzeugen erstrecken sich auf das Zubehör des Schiffes, Schiffsbauwerks, Schwimmdocks (bei Schiffsbauwerken und im Bau befindlichen Schwimmdocks auch die auf der Bauwerft zum Einbau bestimmten und als solche gekennzeichneten Bauteile) oder des Luftfahrzeugs mit Ausnahme der Zubehörstücke oder der Bauteile, die nicht in das Eigentum des Eigentümers des Schiffes, Schiffsbauwerks, im Bau befindlichen oder fertig gestellten Schwimmdocks oder Luftfahrzeugs gelangt sind. Im Übrigen wird auf die §§ 31, 79 und 81a des Gesetzes über Rechte an eingetragenen Schiffen und Schiffsbauwerken (SchRG) und § 31 des Gesetzes über Rechte an Luftfahrzeugen (LuftFzgG) verwiesen. Zubehör eines Seeschiffes sind auch die Schiffsboote. Wegen der Zwangsvollstreckung in Ersatzteile für Luftfahrzeuge, die sich in einem Ersatzteillager befinden, vergleiche § 115.</w:t>
      </w:r>
    </w:p>
    <w:p>
      <w:r>
        <w:rPr>
          <w:color w:val="555555"/>
          <w:sz w:val="17"/>
        </w:rPr>
        <w:t xml:space="preserve">Zitiervorschlag: § 78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